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2B8" w:rsidRPr="0017667B" w:rsidRDefault="002272B8" w:rsidP="0017667B">
      <w:pPr>
        <w:jc w:val="both"/>
        <w:rPr>
          <w:rFonts w:ascii="Verdana" w:hAnsi="Verdana"/>
          <w:sz w:val="20"/>
          <w:szCs w:val="20"/>
        </w:rPr>
      </w:pPr>
    </w:p>
    <w:p w:rsidR="00561B6B" w:rsidRPr="0017667B" w:rsidRDefault="00561B6B" w:rsidP="0017667B">
      <w:pPr>
        <w:autoSpaceDE w:val="0"/>
        <w:autoSpaceDN w:val="0"/>
        <w:adjustRightInd w:val="0"/>
        <w:spacing w:after="0"/>
        <w:jc w:val="both"/>
        <w:rPr>
          <w:rFonts w:ascii="Verdana" w:hAnsi="Verdana" w:cs="CorpidPl"/>
          <w:b/>
          <w:color w:val="0056A8"/>
          <w:sz w:val="20"/>
          <w:szCs w:val="20"/>
          <w:u w:val="single"/>
        </w:rPr>
      </w:pPr>
      <w:r w:rsidRPr="0017667B">
        <w:rPr>
          <w:rFonts w:ascii="Verdana" w:hAnsi="Verdana" w:cs="CorpidPl"/>
          <w:b/>
          <w:color w:val="0056A8"/>
          <w:sz w:val="20"/>
          <w:szCs w:val="20"/>
          <w:u w:val="single"/>
        </w:rPr>
        <w:t>Załącznik nr 2 do umowy o dotację</w:t>
      </w:r>
    </w:p>
    <w:p w:rsidR="00EE3FF1" w:rsidRPr="0017667B" w:rsidRDefault="00EE3FF1" w:rsidP="0017667B">
      <w:pPr>
        <w:autoSpaceDE w:val="0"/>
        <w:autoSpaceDN w:val="0"/>
        <w:adjustRightInd w:val="0"/>
        <w:spacing w:after="0"/>
        <w:jc w:val="both"/>
        <w:rPr>
          <w:rFonts w:ascii="Verdana" w:hAnsi="Verdana" w:cs="CorpidPl"/>
          <w:b/>
          <w:color w:val="0056A8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rPr>
          <w:rFonts w:ascii="Verdana" w:hAnsi="Verdana" w:cs="CorpidPl"/>
          <w:b/>
          <w:color w:val="0056A8"/>
          <w:sz w:val="20"/>
          <w:szCs w:val="20"/>
        </w:rPr>
      </w:pPr>
      <w:r w:rsidRPr="0017667B">
        <w:rPr>
          <w:rFonts w:ascii="Verdana" w:hAnsi="Verdana" w:cs="CorpidPl"/>
          <w:b/>
          <w:color w:val="0056A8"/>
          <w:sz w:val="20"/>
          <w:szCs w:val="20"/>
        </w:rPr>
        <w:t xml:space="preserve">Zasady dotyczące realizacji projektu oraz wykorzystania, rozliczania i dokumentowania wydatków pokrywanych z dotacji oraz wkładu własnego </w:t>
      </w:r>
    </w:p>
    <w:p w:rsidR="00C51093" w:rsidRPr="0017667B" w:rsidRDefault="00C51093" w:rsidP="0017667B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20"/>
          <w:szCs w:val="20"/>
        </w:rPr>
      </w:pPr>
      <w:r w:rsidRPr="0017667B">
        <w:rPr>
          <w:rFonts w:ascii="Verdana" w:hAnsi="Verdana"/>
          <w:b/>
          <w:sz w:val="20"/>
          <w:szCs w:val="20"/>
        </w:rPr>
        <w:t xml:space="preserve">Zasada ogólna: </w:t>
      </w:r>
      <w:r w:rsidRPr="0017667B">
        <w:rPr>
          <w:rFonts w:ascii="Verdana" w:hAnsi="Verdana"/>
          <w:sz w:val="20"/>
          <w:szCs w:val="20"/>
        </w:rPr>
        <w:t xml:space="preserve">Projekt powinien być realizowany z uwzględnieniem interesu publicznego, wartości demokratycznych i praw człowieka oraz zasad dobrego rządzenia, równych szans i  </w:t>
      </w: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zrównoważonego rozwoju.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:rsidR="003234C0" w:rsidRPr="0017667B" w:rsidRDefault="003234C0" w:rsidP="0017667B">
      <w:pPr>
        <w:autoSpaceDE w:val="0"/>
        <w:autoSpaceDN w:val="0"/>
        <w:adjustRightInd w:val="0"/>
        <w:spacing w:after="0"/>
        <w:ind w:left="284"/>
        <w:jc w:val="both"/>
        <w:rPr>
          <w:rFonts w:ascii="Verdana" w:hAnsi="Verdana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  <w:t xml:space="preserve">1. Koszty </w:t>
      </w:r>
      <w:proofErr w:type="spellStart"/>
      <w:r w:rsidRPr="0017667B"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  <w:t>kwalifikowalne</w:t>
      </w:r>
      <w:proofErr w:type="spellEnd"/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  <w:t>1.1 Podstawowe zasady dotyczące kwalifikowalności wydatków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Wydatki są kwalifikowane, o ile spełniają łącznie poniższe kryteria:</w:t>
      </w:r>
    </w:p>
    <w:p w:rsidR="00F65905" w:rsidRPr="0017667B" w:rsidRDefault="00F65905" w:rsidP="001766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zostały poniesione między pierwszym a ostatnim dniem realizacji projektu określonym w umowie,</w:t>
      </w:r>
    </w:p>
    <w:p w:rsidR="00F65905" w:rsidRPr="0017667B" w:rsidRDefault="00F65905" w:rsidP="001766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mają bezpośredni związek z realizowanym projektem i zostały zaplanowane w budżecie,</w:t>
      </w:r>
    </w:p>
    <w:p w:rsidR="00F65905" w:rsidRPr="0017667B" w:rsidRDefault="00F65905" w:rsidP="001766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są adekwatne i niezbędne do realizacji projektu,</w:t>
      </w:r>
    </w:p>
    <w:p w:rsidR="00F65905" w:rsidRPr="0017667B" w:rsidRDefault="00F65905" w:rsidP="001766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są związane wyłącznie z realizacją celów i osiągnięciem zamierzonych rezultatów oraz zostały poniesione racjonalnie i efektywnie,</w:t>
      </w:r>
    </w:p>
    <w:p w:rsidR="00F65905" w:rsidRPr="0017667B" w:rsidRDefault="00F65905" w:rsidP="001766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są poparte stosownymi dokumentami księgowymi wprowadzonymi do ewidencji księgowej zgodnie z obowiązującymi przepisami prawa o rachunkowości i zasadami ustalonymi w polityce rachunkowości Grantobiorcy, </w:t>
      </w:r>
    </w:p>
    <w:p w:rsidR="00F65905" w:rsidRPr="0017667B" w:rsidRDefault="00F65905" w:rsidP="0017667B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są zgodne z obowiązującym ustawodawstwem podatkowym i ubezpieczeń społecznych.</w:t>
      </w:r>
    </w:p>
    <w:p w:rsidR="00442A1D" w:rsidRPr="0017667B" w:rsidRDefault="00442A1D" w:rsidP="0017667B">
      <w:pPr>
        <w:pStyle w:val="Akapitzlist"/>
        <w:autoSpaceDE w:val="0"/>
        <w:autoSpaceDN w:val="0"/>
        <w:adjustRightInd w:val="0"/>
        <w:spacing w:after="0"/>
        <w:ind w:left="426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Wydatki uważa się za poniesione wówczas, gdy faktura (</w:t>
      </w:r>
      <w:r w:rsidRPr="0017667B">
        <w:rPr>
          <w:rFonts w:ascii="Verdana" w:hAnsi="Verdana"/>
          <w:sz w:val="20"/>
          <w:szCs w:val="20"/>
        </w:rPr>
        <w:t xml:space="preserve">lub inny dokument księgowy o równoważnej wartości  dowodowej) </w:t>
      </w: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została wystawiona i zapłacona, a przedmiot został dostarczony/usługa została wykonana. Wyjątek od tej reguły stanowią: </w:t>
      </w:r>
    </w:p>
    <w:p w:rsidR="00F65905" w:rsidRPr="0017667B" w:rsidRDefault="00F65905" w:rsidP="001766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wkład rzeczowy w postaci pracy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wolontariackiej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,</w:t>
      </w:r>
    </w:p>
    <w:p w:rsidR="00F65905" w:rsidRPr="0017667B" w:rsidRDefault="00F65905" w:rsidP="001766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amortyzacji, które uznane są za poniesione w dacie zaksięgowania,</w:t>
      </w:r>
    </w:p>
    <w:p w:rsidR="00F65905" w:rsidRPr="0017667B" w:rsidRDefault="00F65905" w:rsidP="001766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rozliczenia dokonywane na podstawie wewnętrznych dowodów księgowych, w tym koszty pośrednie rozliczane ryczałtem, które uznawane są za poniesione w dacie zaksięgowania,</w:t>
      </w:r>
    </w:p>
    <w:p w:rsidR="00F65905" w:rsidRPr="0017667B" w:rsidRDefault="00F65905" w:rsidP="001766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kompensata (potrącenie) należności, </w:t>
      </w:r>
    </w:p>
    <w:p w:rsidR="00F65905" w:rsidRPr="0017667B" w:rsidRDefault="00F65905" w:rsidP="0017667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wydatki poniesione w terminie 30 dni od ostatniego dnia realizacji projektu określonego w umowie, dotyczące płatności faktur i rachunków dotyczących realizacji projektu oraz wymaganych płatności podatków i składek na ubezpieczenie społeczne.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  <w:t>1.2 Koszty bezpośrednie</w:t>
      </w: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Koszty bezpośrednie to wszystkie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kwalifikowalne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koszty związane z realizacją projektu, do których w szczególności należą: </w:t>
      </w:r>
    </w:p>
    <w:p w:rsidR="00F65905" w:rsidRPr="0017667B" w:rsidRDefault="00F65905" w:rsidP="0017667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wynagrodzeń (w tym koszty wynagrodzeń za koordynację i rozliczenie projektu), ponoszone zgodnie z Kodeksem pracy (Dz. U. z 1998 r. Nr 21, poz. 94, z 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późn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. zm.) oraz Kodeksem cywilnym (Dz. U. Nr 16, poz. 93, z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późn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. zm.), pod warunkiem, że są one zgodne z regulaminem wynagrodzeń i stawkami wynagrodzeń stosowanymi przez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Grantobiorcę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(i Partnera); do kosztów wynagrodzeń wlicza się składki pracodawcy na ubezpieczenia społeczne i składki na Fundusz Pracy;</w:t>
      </w:r>
    </w:p>
    <w:p w:rsidR="00F65905" w:rsidRPr="0017667B" w:rsidRDefault="00F65905" w:rsidP="0017667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koszty podróży i diety, pod warunkiem że są one zgodne z rozporządzeniem Ministra Pracy i Polityki Społecznej z dnia 29 stycznia 2013 r. w sprawie wysokości oraz warunków </w:t>
      </w: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lastRenderedPageBreak/>
        <w:t>ustalania należności przysługujących pracownikowi zatrudnionemu w państwowej lub samorządowej jednostce sfery budżetowej z tytułu podróży służbowej (Dz. U. z 2013 r., Nr 0, poz. 167); standardem jest podróżowanie klasą drugą lub ekonomiczną;</w:t>
      </w:r>
    </w:p>
    <w:p w:rsidR="00F65905" w:rsidRPr="0017667B" w:rsidRDefault="00F65905" w:rsidP="0017667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zakupu towarów i usług;</w:t>
      </w:r>
    </w:p>
    <w:p w:rsidR="00F65905" w:rsidRPr="0017667B" w:rsidRDefault="00F65905" w:rsidP="0017667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związane z promocją i upowszechnianiem informacji o projekcie i jego rezultatach, ewaluacją, audytem, tłumaczeniami oraz koszty opłat i prowizji bankowych związanych z wyodrębnionym na potrzeby projektu rachunkiem bankowym;</w:t>
      </w:r>
    </w:p>
    <w:p w:rsidR="00F65905" w:rsidRPr="0017667B" w:rsidRDefault="00F65905" w:rsidP="0017667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koszty remontów nieruchomości do 50% kosztów bezpośrednich, o ile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posiada tytuł prawny gwarantujący użytkowanie nieruchomości przez okres 5 lat od zakończenia realizacji projektu;</w:t>
      </w:r>
    </w:p>
    <w:p w:rsidR="00F65905" w:rsidRPr="0017667B" w:rsidRDefault="00F65905" w:rsidP="0017667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nowego lub używanego środka trwałego, rozliczane zgodnie z poniższymi zasadami:</w:t>
      </w:r>
    </w:p>
    <w:p w:rsidR="00F65905" w:rsidRPr="0017667B" w:rsidRDefault="00F65905" w:rsidP="0017667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kosztem bezpośrednim może być całość lub część kosztów amortyzacji środków trwałych, która odpowiada proporcji stopnia wykorzystania środka trwałego dla celów realizacji projektu w czasie realizacji tego projektu, pod warunkiem że zakup tych środków trwałych nie był finansowany ze środków publicznych krajowych, unijnych, z Mechanizmu Finansowego EOG lub z Norweskiego Mechanizmu Finansowego (nie można bowiem dwukrotnie dofinansować z tego samego źródła danego elementu majątku: po raz pierwszy przy jego zakupie i ponownie poprzez refundację wartości odpisów amortyzacyjnych); do ustalenia wysokości odpisów amortyzacyjnych dla poszczególnych grup rodzajowych środków trwałych stosuje się stawki określone w załączniku nr 1 do ustawy z dnia 15 lutego 1992 r. o podatku dochodowym od osób prawnych (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Dz.U.z</w:t>
      </w:r>
      <w:proofErr w:type="spellEnd"/>
      <w:r w:rsidR="00561B6B"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2011 r. Nr 74, poz. 397 </w:t>
      </w:r>
      <w:proofErr w:type="spellStart"/>
      <w:r w:rsidR="00561B6B" w:rsidRPr="0017667B">
        <w:rPr>
          <w:rFonts w:ascii="Verdana" w:hAnsi="Verdana" w:cs="CorpidPl"/>
          <w:color w:val="000000"/>
          <w:spacing w:val="-1"/>
          <w:sz w:val="20"/>
          <w:szCs w:val="20"/>
        </w:rPr>
        <w:t>j.t</w:t>
      </w:r>
      <w:proofErr w:type="spellEnd"/>
      <w:r w:rsidR="00561B6B" w:rsidRPr="0017667B">
        <w:rPr>
          <w:rFonts w:ascii="Verdana" w:hAnsi="Verdana" w:cs="CorpidPl"/>
          <w:color w:val="000000"/>
          <w:spacing w:val="-1"/>
          <w:sz w:val="20"/>
          <w:szCs w:val="20"/>
        </w:rPr>
        <w:t>. z 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późn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. zm.);</w:t>
      </w:r>
    </w:p>
    <w:p w:rsidR="00F65905" w:rsidRPr="0017667B" w:rsidRDefault="00F65905" w:rsidP="0017667B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/>
        <w:ind w:left="709" w:hanging="283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kosztem bezpośrednim może być całość kosztów zakupu środków trwałych, jeśli są one integralnym i niezbędnym elementem do realizacji projektu i mają zasadnicze znaczenie dla osiągnięcia zakładanych rezultatów, będą ubezpieczone i użytkowane w okresie 5 lat od daty zakończenia realizacji projektu oraz nie będą wykorzystywane do prowadzenia działalności gospodarczej i nie zostaną sprzedane w celu osiągnięcia zysku.</w:t>
      </w:r>
    </w:p>
    <w:p w:rsidR="00F65905" w:rsidRPr="0017667B" w:rsidRDefault="003C169F" w:rsidP="0017667B">
      <w:pPr>
        <w:pStyle w:val="Akapitzlist"/>
        <w:autoSpaceDE w:val="0"/>
        <w:autoSpaceDN w:val="0"/>
        <w:adjustRightInd w:val="0"/>
        <w:spacing w:after="0"/>
        <w:ind w:left="709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noProof/>
          <w:color w:val="000000"/>
          <w:spacing w:val="-1"/>
          <w:sz w:val="20"/>
          <w:szCs w:val="20"/>
          <w:lang w:eastAsia="pl-PL"/>
        </w:rPr>
        <w:pict>
          <v:roundrect id="_x0000_s1027" style="position:absolute;left:0;text-align:left;margin-left:-12.15pt;margin-top:8.85pt;width:494.45pt;height:87.9pt;flip:y;z-index:251661312" arcsize="10923f">
            <v:textbox style="mso-next-textbox:#_x0000_s1027">
              <w:txbxContent>
                <w:p w:rsidR="00EE3FF1" w:rsidRPr="00F65905" w:rsidRDefault="00EE3FF1" w:rsidP="00442A1D">
                  <w:pPr>
                    <w:spacing w:line="240" w:lineRule="auto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F65905">
                    <w:rPr>
                      <w:rFonts w:ascii="Verdana" w:hAnsi="Verdana" w:cs="CorpidPl"/>
                      <w:b/>
                      <w:color w:val="000000"/>
                      <w:spacing w:val="-1"/>
                      <w:sz w:val="20"/>
                      <w:szCs w:val="20"/>
                    </w:rPr>
                    <w:t>UWAGA!</w:t>
                  </w:r>
                  <w:r w:rsidRPr="00F65905">
                    <w:rPr>
                      <w:rFonts w:ascii="Verdana" w:hAnsi="Verdana" w:cs="CorpidPl"/>
                      <w:color w:val="000000"/>
                      <w:spacing w:val="-1"/>
                      <w:sz w:val="20"/>
                      <w:szCs w:val="20"/>
                    </w:rPr>
                    <w:t xml:space="preserve">  </w:t>
                  </w:r>
                  <w:r w:rsidRPr="00F65905">
                    <w:rPr>
                      <w:rFonts w:ascii="Verdana" w:hAnsi="Verdana" w:cs="CorpidPl"/>
                      <w:spacing w:val="-1"/>
                      <w:sz w:val="20"/>
                      <w:szCs w:val="20"/>
                    </w:rPr>
                    <w:t xml:space="preserve">Zgodnie z zasadami dobrego rządzenia i przeciwdziałania konfliktowi interesów </w:t>
                  </w:r>
                  <w:r w:rsidRPr="00F65905">
                    <w:rPr>
                      <w:rFonts w:ascii="Verdana" w:hAnsi="Verdana"/>
                      <w:sz w:val="20"/>
                      <w:szCs w:val="20"/>
                    </w:rPr>
                    <w:t>do realizacji projektu nie powinny być zatrudniane osoby pozostające w związku pokrewieństwa, opieki lub kurateli z członkami organów za</w:t>
                  </w:r>
                  <w:r>
                    <w:rPr>
                      <w:rFonts w:ascii="Verdana" w:hAnsi="Verdana"/>
                      <w:sz w:val="20"/>
                      <w:szCs w:val="20"/>
                    </w:rPr>
                    <w:t>rządzających lub nadzorczych, a </w:t>
                  </w:r>
                  <w:r w:rsidRPr="00F65905">
                    <w:rPr>
                      <w:rFonts w:ascii="Verdana" w:hAnsi="Verdana"/>
                      <w:sz w:val="20"/>
                      <w:szCs w:val="20"/>
                    </w:rPr>
                    <w:t>zakup towarów lub usług od podmiotów, będących (współ)własnością członków organów lub pracowników Grantobiorcy nie może odbywać się  na zasadach innych niż w stosunku do osób trzecich lub po cenach wyższych niż rynkowe.</w:t>
                  </w:r>
                </w:p>
              </w:txbxContent>
            </v:textbox>
          </v:roundrect>
        </w:pic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442A1D" w:rsidRPr="0017667B" w:rsidRDefault="00442A1D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  <w:t>1.3 Koszty pośrednie</w:t>
      </w: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Koszty pośrednie to wszystkie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kwalifikowalne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koszty, które nie mogą być jasno wskazane jako bezpośrednio związane z projektem, ale które można uzasadnić i wskazać w ewidencji księgowej jako poniesione w związku z realizacją projektu. Koszty pośrednie nie mogą być wykazywane jako koszty bezpośrednie.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Do kosztów pośrednich mogą zostać zaliczone w szczególności:</w:t>
      </w:r>
    </w:p>
    <w:p w:rsidR="00F65905" w:rsidRPr="0017667B" w:rsidRDefault="00F65905" w:rsidP="001766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zarządu (koszty wynagrodzenia osób uprawnionych do reprezentowania podmiotu oraz inne koszty związane z funkcjonowaniem organu zarządzającego),</w:t>
      </w:r>
    </w:p>
    <w:p w:rsidR="00F65905" w:rsidRPr="0017667B" w:rsidRDefault="00F65905" w:rsidP="001766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personelu pomocniczego (obsługa kadrowa, księgowa, prawna, administracyjna, sekretariat etc.),</w:t>
      </w:r>
    </w:p>
    <w:p w:rsidR="00F65905" w:rsidRPr="0017667B" w:rsidRDefault="00F65905" w:rsidP="001766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utrzymania powierzchni biurowych (czynsz, najem, amortyzacja, koszty ochrony, koszty sprzątania pomieszczeń, w tym środki do utrzymania ich czystości, opłaty za energię elektryczną, cieplną, gazową i wodę, opłaty przesyłowe, opłaty za odprowadzanie ścieków etc.),</w:t>
      </w:r>
    </w:p>
    <w:p w:rsidR="00F65905" w:rsidRPr="0017667B" w:rsidRDefault="00F65905" w:rsidP="001766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lastRenderedPageBreak/>
        <w:t>koszty wyposażenia i materiałów biurowych związanych z funkcjonowaniem biura (zakup, konserwacja, amortyzacja etc.),</w:t>
      </w:r>
    </w:p>
    <w:p w:rsidR="00F65905" w:rsidRPr="0017667B" w:rsidRDefault="00F65905" w:rsidP="001766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usług pocztowych, kurierskich, telefonicznych, internetowych itp.,</w:t>
      </w:r>
    </w:p>
    <w:p w:rsidR="00F65905" w:rsidRPr="0017667B" w:rsidRDefault="00F65905" w:rsidP="0017667B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ubezpieczeń majątkowych i od odpowiedzialności cywilnej.</w:t>
      </w:r>
    </w:p>
    <w:p w:rsidR="00442A1D" w:rsidRPr="0017667B" w:rsidRDefault="00442A1D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pośrednie mogą być rozliczane na dwa sposoby:</w:t>
      </w:r>
    </w:p>
    <w:p w:rsidR="00F65905" w:rsidRPr="0017667B" w:rsidRDefault="00F65905" w:rsidP="0017667B">
      <w:pPr>
        <w:pStyle w:val="Akapitzlist"/>
        <w:numPr>
          <w:ilvl w:val="1"/>
          <w:numId w:val="23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Na podstawie rzeczywiście poniesionych wydatków do wysokości 20% kosztów bezpośrednich.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26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 przypadku rozliczania kosztów pośrednich na podstawie rzeczywiście poniesionych wydatków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ma obowiązek zbierania i opisywania dokumentów księgowych na potwierdzenie poniesienia wydatków, które zostały wykazane jako wydatki pośrednie. Dokumenty te są wykazywane w zestawieniu poniesionych wydatków na zasadach analogicznych jak dla wydatków bezpośrednich.</w:t>
      </w:r>
    </w:p>
    <w:p w:rsidR="00F65905" w:rsidRPr="0017667B" w:rsidRDefault="00F65905" w:rsidP="0017667B">
      <w:pPr>
        <w:pStyle w:val="Akapitzlist"/>
        <w:keepNext/>
        <w:numPr>
          <w:ilvl w:val="1"/>
          <w:numId w:val="23"/>
        </w:numPr>
        <w:autoSpaceDE w:val="0"/>
        <w:autoSpaceDN w:val="0"/>
        <w:adjustRightInd w:val="0"/>
        <w:spacing w:before="100"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Ryczałtem do wysokości 20% kosztów bezpośrednich.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26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Koszty pośrednie rozliczone ryczałtem są traktowane jako wydatki poniesione w dacie zaksięgowania.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nie ma obowiązku zbierania ani opisywania dokumentów księgowych na potwierdzenie poniesienia wydatków, które zostały wykazane jako wydatki pośrednie w ramach projektu. Jednakże Operator zastrzega sobie prawo do sprawdzenia dokumentacji wydatków poniesionych w ramach ryczałtu.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, który zdecyduje się na rozliczenie kosztów pośrednich ryczałtem, musi przedstawić kalkulację tych kosztów. Kalkulacja może opierać się na jednej z poniższych metod:</w:t>
      </w:r>
    </w:p>
    <w:p w:rsidR="00F65905" w:rsidRPr="0017667B" w:rsidRDefault="00F65905" w:rsidP="001766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ustalonej proporcji pomiędzy personelem zaangażowanym w realizację projektu a personelem zatrudnionym przez organizację, </w:t>
      </w:r>
    </w:p>
    <w:p w:rsidR="00F65905" w:rsidRPr="0017667B" w:rsidRDefault="00F65905" w:rsidP="001766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ustalonej proporcji pomiędzy budżetem projektu a budżetem całej organizacji,</w:t>
      </w:r>
    </w:p>
    <w:p w:rsidR="00F65905" w:rsidRPr="0017667B" w:rsidRDefault="00F65905" w:rsidP="001766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ustalonej proporcji pomiędzy kosztami pośrednimi projektu a średnią kosztów administracyjnych organizacji, </w:t>
      </w:r>
    </w:p>
    <w:p w:rsidR="00F65905" w:rsidRPr="0017667B" w:rsidRDefault="00F65905" w:rsidP="0017667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albo innej jasno ustalonej metodzie.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Nie można zmienić sposobu rozliczania kosztów pośrednich w trakcie realizacji projektu.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  <w:t xml:space="preserve">2. Koszty </w:t>
      </w:r>
      <w:proofErr w:type="spellStart"/>
      <w:r w:rsidRPr="0017667B"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  <w:t>niekwalifikowalne</w:t>
      </w:r>
      <w:proofErr w:type="spellEnd"/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Kosztami niekwalifikowanymi są: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prowizje i odsetki z tytułu spłaty kredytów oraz odsetki za zwłokę, 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2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2"/>
          <w:sz w:val="20"/>
          <w:szCs w:val="20"/>
        </w:rPr>
        <w:t xml:space="preserve">opłaty za transakcje finansowe oraz inne koszty finansowe, z wyjątkiem kosztów związanych z prowadzeniem wydzielonego na potrzeby dotacji rachunku bankowego, 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zakupu ziemi i nieruchomości,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rezerwy na zobowiązania i rezerwy na straty,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straty spowodowane różnicami kursowymi,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podatek od towarów i usług (VAT), który w świetle obowiązujących przepisów prawnych może być odzyskiwany,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sfinansowane z innych źródeł z wyjątkiem kosztów sfinansowanych jako wkład własny finansowy,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koszty postępowania sądowego, z wyjątkiem kosztów postępowań sądowych będących elementem działań realizowanych w projekcie,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grzywny i kary,</w:t>
      </w:r>
    </w:p>
    <w:p w:rsidR="00F65905" w:rsidRPr="0017667B" w:rsidRDefault="00F65905" w:rsidP="0017667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wydatki niepotrzebne i nieuzasadnione.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Kosztami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niekwaflikowalnymi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są też koszty działań wykluczonych, do których należą:</w:t>
      </w:r>
    </w:p>
    <w:p w:rsidR="00F65905" w:rsidRPr="0017667B" w:rsidRDefault="00F65905" w:rsidP="001766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Działania dotyczące aktywizacji zawodowej.</w:t>
      </w:r>
    </w:p>
    <w:p w:rsidR="00F65905" w:rsidRPr="0017667B" w:rsidRDefault="00F65905" w:rsidP="001766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Przekazywanie środków pieniężnych i świadczeń w naturze dla osób fizycznych.</w:t>
      </w:r>
    </w:p>
    <w:p w:rsidR="00F65905" w:rsidRPr="0017667B" w:rsidRDefault="00F65905" w:rsidP="001766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proofErr w:type="spellStart"/>
      <w:r w:rsidRPr="0017667B">
        <w:rPr>
          <w:rFonts w:ascii="Verdana" w:hAnsi="Verdana" w:cs="CorpidPl"/>
          <w:i/>
          <w:iCs/>
          <w:color w:val="000000"/>
          <w:spacing w:val="-1"/>
          <w:sz w:val="20"/>
          <w:szCs w:val="20"/>
        </w:rPr>
        <w:lastRenderedPageBreak/>
        <w:t>Re-granting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, tj. przekazywanie środków na rzecz osób trzecich w ramach odrębnej procedury grantowej.</w:t>
      </w:r>
    </w:p>
    <w:p w:rsidR="00F65905" w:rsidRPr="0017667B" w:rsidRDefault="00F65905" w:rsidP="0017667B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Działania o charakterze politycznym, religijnym i komercyjnym (np. kampanie wyborcze, promocja komitetu wyborczego lub partii politycznej, działania dotyczące kultu religijnego, posługi kapłańskiej, działalność misyjna i duszpasterska, działania komercyjne, prowadzone dla zysku).</w:t>
      </w:r>
    </w:p>
    <w:p w:rsidR="00F65905" w:rsidRPr="0017667B" w:rsidRDefault="003C169F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noProof/>
          <w:color w:val="000000"/>
          <w:spacing w:val="-1"/>
          <w:sz w:val="20"/>
          <w:szCs w:val="20"/>
          <w:lang w:eastAsia="pl-PL"/>
        </w:rPr>
        <w:pict>
          <v:roundrect id="_x0000_s1026" style="position:absolute;left:0;text-align:left;margin-left:-8.55pt;margin-top:7.75pt;width:494.45pt;height:38.95pt;flip:y;z-index:251660288" arcsize="10923f">
            <v:textbox style="mso-next-textbox:#_x0000_s1026">
              <w:txbxContent>
                <w:p w:rsidR="00EE3FF1" w:rsidRPr="00F65905" w:rsidRDefault="00EE3FF1" w:rsidP="00F65905">
                  <w:pPr>
                    <w:rPr>
                      <w:rFonts w:ascii="Verdana" w:hAnsi="Verdana"/>
                      <w:sz w:val="20"/>
                      <w:szCs w:val="20"/>
                    </w:rPr>
                  </w:pPr>
                  <w:r w:rsidRPr="00F65905">
                    <w:rPr>
                      <w:rFonts w:ascii="Verdana" w:hAnsi="Verdana" w:cs="CorpidPl"/>
                      <w:b/>
                      <w:color w:val="000000"/>
                      <w:spacing w:val="-1"/>
                      <w:sz w:val="20"/>
                      <w:szCs w:val="20"/>
                    </w:rPr>
                    <w:t>UWAGA!</w:t>
                  </w:r>
                  <w:r w:rsidRPr="00F65905">
                    <w:rPr>
                      <w:rFonts w:ascii="Verdana" w:hAnsi="Verdana" w:cs="CorpidPl"/>
                      <w:color w:val="000000"/>
                      <w:spacing w:val="-1"/>
                      <w:sz w:val="20"/>
                      <w:szCs w:val="20"/>
                    </w:rPr>
                    <w:t xml:space="preserve"> Dla zachowania zasady</w:t>
                  </w:r>
                  <w:r w:rsidRPr="00F65905">
                    <w:rPr>
                      <w:rFonts w:ascii="Verdana" w:hAnsi="Verdana"/>
                      <w:sz w:val="20"/>
                      <w:szCs w:val="20"/>
                    </w:rPr>
                    <w:t xml:space="preserve"> równych szans nie można pobierać jakichkolwiek wpłat, czy opłat od adresatów/uczestników projektu.</w:t>
                  </w:r>
                </w:p>
              </w:txbxContent>
            </v:textbox>
          </v:roundrect>
        </w:pic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3234C0" w:rsidRPr="0017667B" w:rsidRDefault="003234C0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3234C0" w:rsidRPr="0017667B" w:rsidRDefault="003234C0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  <w:t>3. Podatek od towarów i usług (VAT)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Podatek od towarów i usług (VAT) może być uznany za wydatek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kwalifikowalny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tylko wtedy, gdy został poniesiony przez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Grantobiorcę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lub Partnera oraz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lub Partner nie mają możliwości odzyskania podatku zgodnie z przepisami ustawy z dnia 11 marca 2004 r. o podatku od towarów i usług (Dz. U. z 2011 r. Nr 177, poz. 1054,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j.t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. z 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późn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. zm.).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Jeżeli podatek od towarów i usług (VAT) może być częściowo odzyskany,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kwalifikowalna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jest ta część podatku, która nie może zostać odzyskana.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składa oświadczenie o kwalifikowalności podatku od towarów i usług (VAT) przed podpisaniem Umowy. W oświadczeniu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zobowiązuje się do zwrotu zrefundowanej części poniesionego podatku od towarów i usług (VAT), jeżeli zaistnieją przesłanki umożliwiające odzyskanie tego podatku.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2"/>
          <w:sz w:val="20"/>
          <w:szCs w:val="20"/>
        </w:rPr>
      </w:pPr>
      <w:proofErr w:type="spellStart"/>
      <w:r w:rsidRPr="0017667B">
        <w:rPr>
          <w:rFonts w:ascii="Verdana" w:hAnsi="Verdana" w:cs="CorpidPl"/>
          <w:color w:val="000000"/>
          <w:spacing w:val="-2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2"/>
          <w:sz w:val="20"/>
          <w:szCs w:val="20"/>
        </w:rPr>
        <w:t xml:space="preserve"> zobowiązany jest do niezwłocznego poinformowania Operatora w sytuacji zmiany statusu Grantobiorcy lub jego Partnera jako podatników VAT w trakcie realizacji projektu.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  <w:t>4. Zamówienia publiczne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Grantobiorcy programu i ich Partnerzy zobowiązani są do składania zamówień i zawierania umów zgodnie z najlepszymi praktykami gospodarności, równego traktowania potencjalnych wykonawców i zapewnienia uczciwej konkurencji między nimi oraz do efektywnego wykorzystania środków bez względu na wartość zamówienia.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Grantobiorcy programu nie są zobowiązani do stosowania przepisów ustawy o zamówieniach publicznych, jeśli kwota zamówienia nie przekracza progów unijnych określonych dla zamówień publicznych (200 000 euro dla dostaw i usług).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Jeśli projekt realizowany jest w partnerstwie z podmiotem zobowiązanym ustawowo do stosowania przepisów ustawy Prawo Zamówień Publicznych, to Partner korzystając ze środków dotacji musi przestrzegać przepisów ustawy.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 przypadku zakupu towaru lub usługi o wartości przekraczającej 20 000 zł (ok. 5 000 euro).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jest zobowiązany do zebrania co najmniej trzech równoważnych ofert (rozeznanie rynku). Za ofertę równoważną uważa się taką, która przedstawia opis przedmiotu zamówienia o parametrach zbliżonych do tych, jakie zostały określone we wniosku. Oferty mogą być zbierane w różnej formie, mogą to być np. publikowane cenniki lub odpowiedzi na zapytanie o cenę. Nie jest konieczne, by oferty były wiążące na gruncie przepisów Kodeksu cywilnego. Dokumenty potwierdzające zebranie co najmniej trzech równoważnych ofert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zobowiązany jest przechowywać wraz z dokumentacją finansową projektu.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Zbieranie równoważnych ofert nie jest konieczne w przypadku: wydatków związanych z zatrudnieniem personelu, z zakupem usług komunalnych, paliw, energii elektrycznej itp., wydatków, których limity określone są w obowiązujących przepisach prawa, np. diety, ryczałty na przejazdy, noclegi itp., oraz zamówień dotyczących zadań wykonywanych przez osoby będące stałymi współpracownikami Grantobiorcy.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ind w:left="454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28"/>
          <w:sz w:val="20"/>
          <w:szCs w:val="20"/>
        </w:rPr>
        <w:t>5. Zarządzanie finansami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  <w:t>5.1 Rachunek bankowy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zobowiązany jest do prowadzenia wydzielonego rachunku bankowego służącego rozliczeniom przychodów i wydatków ponoszonych w związku z realizacją projektu.</w:t>
      </w:r>
      <w:r w:rsidR="00442A1D"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</w:t>
      </w: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Wypłaty gotówkowe z wydzielonego rachunku bankowego powinny być dokonywane jedynie w szczególnych przypadkach, gdy zapłata nie może być dokonana w formie przelewu.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Odsetki zgromadzone na rachunku bankowym należy zadeklarować w sprawozdaniu końcowym. Kwota odsetek pomniejszy ostateczną kwotę do wypłaty lub zwiększy ewentualny zwrot dotacji.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  <w:t>5.2 Zasady księgowania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zobowiązany jest do prowadzenia wyodrębnionej ewidencji księgowej na potrzeby projektu, umożliwiającej jednoznaczną identyfikację wszystkich kosztów i przychodów dotyczących projektu.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 przypadku kosztów pośrednich rozliczanych ryczałtem nie ma obowiązku prowadzenia wyodrębnionej ewidencji wydatków i składania wraz ze sprawozdaniami zestawienia dokumentów potwierdzających poniesione wydatki.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 przypadku przekazania środków Partnerowi/Partnerom środki te stanowią koszt Grantobiorcy. Sposób ich przekazania i rozliczenia powinien być określony w umowie partnerskiej.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Na podstawie zapisów prowadzonych w księgach rachunkowych oraz zestawień wydatków przekazanych przez Partnera/Partnerów,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zobowiązany jest do sporządzenia sprawozdań finansowych określonych w umowie.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</w:pPr>
    </w:p>
    <w:p w:rsidR="00EE3FF1" w:rsidRPr="0017667B" w:rsidRDefault="00EE3FF1" w:rsidP="0017667B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  <w:t>5.3 Dokumentowanie poniesionych wydatków</w:t>
      </w:r>
    </w:p>
    <w:p w:rsidR="00F65905" w:rsidRPr="0017667B" w:rsidRDefault="00F65905" w:rsidP="0017667B">
      <w:pPr>
        <w:keepNext/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Dowodem poniesienia wydatków jest opłacona faktura lub inny dokument księgowy o równoważnej wartości dowodowej wraz z dowodem zapłaty. </w:t>
      </w:r>
      <w:r w:rsidRPr="0017667B">
        <w:rPr>
          <w:rFonts w:ascii="Verdana" w:hAnsi="Verdana"/>
          <w:sz w:val="20"/>
          <w:szCs w:val="20"/>
        </w:rPr>
        <w:t>Przyjmuje si</w:t>
      </w:r>
      <w:r w:rsidR="00BD521D" w:rsidRPr="0017667B">
        <w:rPr>
          <w:rFonts w:ascii="Verdana" w:hAnsi="Verdana"/>
          <w:sz w:val="20"/>
          <w:szCs w:val="20"/>
        </w:rPr>
        <w:t>ę</w:t>
      </w:r>
      <w:r w:rsidRPr="0017667B">
        <w:rPr>
          <w:rFonts w:ascii="Verdana" w:hAnsi="Verdana"/>
          <w:sz w:val="20"/>
          <w:szCs w:val="20"/>
        </w:rPr>
        <w:t xml:space="preserve"> za dowód zapłaty gotówkowej informację na dokumencie: „Zapłacono gotówką” lub „Forma zapłaty: gotówka”.</w:t>
      </w: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Zakupy środków trwałych dokumentowane są fakturami lub umowami sprzedaży.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Koszty związane z amortyzacją środków trwałych dokumentowane są tabelami amortyzacyjnymi zawierającymi co najmniej: nazwę środka trwałego, datę przyjęcia do użytkowania, przyjętą stawkę amortyzacji, wysokość miesięcznego odpisu amortyzacyjnego, zakres wykorzystania środka dla celów projektu. Koszty amortyzacji środków trwałych mogą być uwzględnione jedynie w przypadku, gdy nie były pokryte ze środków publicznych (krajowych, unijnych, Mechanizmu Finansowego EOG, Norweskiego Mechanizmu Finansowego).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Wszystkie dokumenty księgowe, z wyjątkiem dokumentów dotyczących kosztów pośrednich rozliczanych ryczałtem, muszą być prawidłowo opisane, tak aby był zrozumiały ich związek z projektem. </w:t>
      </w:r>
    </w:p>
    <w:p w:rsidR="00F65905" w:rsidRPr="0017667B" w:rsidRDefault="00F65905" w:rsidP="0017667B">
      <w:pPr>
        <w:keepNext/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Opis dokumentu księgowego powinien zawierać:</w:t>
      </w:r>
    </w:p>
    <w:p w:rsidR="00F65905" w:rsidRPr="0017667B" w:rsidRDefault="00F65905" w:rsidP="001766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numer wniosku,</w:t>
      </w:r>
    </w:p>
    <w:p w:rsidR="00F65905" w:rsidRPr="0017667B" w:rsidRDefault="00F65905" w:rsidP="001766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informację, że projekt jest współfinansowany z Funduszy EOG,</w:t>
      </w:r>
    </w:p>
    <w:p w:rsidR="00F65905" w:rsidRPr="0017667B" w:rsidRDefault="00F65905" w:rsidP="001766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kwotę wydatków </w:t>
      </w: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kwalifikowalnych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,</w:t>
      </w:r>
    </w:p>
    <w:p w:rsidR="00F65905" w:rsidRPr="0017667B" w:rsidRDefault="00F65905" w:rsidP="001766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opis działania, którego dotyczy wydatek</w:t>
      </w:r>
    </w:p>
    <w:p w:rsidR="00F65905" w:rsidRPr="0017667B" w:rsidRDefault="00F65905" w:rsidP="0017667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/>
        <w:ind w:left="426" w:hanging="284"/>
        <w:contextualSpacing w:val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akceptację wydatku pod względem merytorycznym oraz formalno-rachunkowym podpisaną przez osoby uprawnione.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Do dokumentów związanych z rozliczeniem kosztów wynagrodzenia personelu zatrudnionego na podstawie umowy o pracę należy dołączyć zakres obowiązków ze wskazaniem procentowego czasu pracy poświęconego na realizację projektu.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lastRenderedPageBreak/>
        <w:t>W ramach dokumentowania prowadzonych działań należy również prowadzić listy obecności na spotkaniach, szkoleniach lub konferencjach.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Wkład własny rzeczowy wniesiony na rzecz projektu dokumentowany jest umową z wolontariuszem wraz z ewidencją czasu pracy.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b/>
          <w:bCs/>
          <w:color w:val="000000"/>
          <w:spacing w:val="-1"/>
          <w:sz w:val="20"/>
          <w:szCs w:val="20"/>
        </w:rPr>
        <w:t xml:space="preserve">5.4 Przechowywanie dokumentacji </w:t>
      </w:r>
    </w:p>
    <w:p w:rsidR="00F65905" w:rsidRPr="0017667B" w:rsidRDefault="00F65905" w:rsidP="0017667B">
      <w:pPr>
        <w:autoSpaceDE w:val="0"/>
        <w:autoSpaceDN w:val="0"/>
        <w:adjustRightInd w:val="0"/>
        <w:spacing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proofErr w:type="spellStart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Grantobiorca</w:t>
      </w:r>
      <w:proofErr w:type="spellEnd"/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 xml:space="preserve"> zobowiązany jest do przechowywania dokumentacji związanej z realizacją umowy do 31 grudnia 2019 roku. </w:t>
      </w:r>
    </w:p>
    <w:p w:rsidR="00F65905" w:rsidRPr="0017667B" w:rsidRDefault="00F65905" w:rsidP="0017667B">
      <w:pPr>
        <w:autoSpaceDE w:val="0"/>
        <w:autoSpaceDN w:val="0"/>
        <w:adjustRightInd w:val="0"/>
        <w:spacing w:before="100" w:after="0"/>
        <w:jc w:val="both"/>
        <w:textAlignment w:val="center"/>
        <w:rPr>
          <w:rFonts w:ascii="Verdana" w:hAnsi="Verdana" w:cs="CorpidPl"/>
          <w:color w:val="000000"/>
          <w:spacing w:val="-1"/>
          <w:sz w:val="20"/>
          <w:szCs w:val="20"/>
        </w:rPr>
      </w:pPr>
      <w:r w:rsidRPr="0017667B">
        <w:rPr>
          <w:rFonts w:ascii="Verdana" w:hAnsi="Verdana" w:cs="CorpidPl"/>
          <w:color w:val="000000"/>
          <w:spacing w:val="-1"/>
          <w:sz w:val="20"/>
          <w:szCs w:val="20"/>
        </w:rPr>
        <w:t>Dowody księgowe należy przechowywać w ustalonym porządku dostosowanym do sposobu prowadzenia ksiąg rachunkowych, w sposób zapewniający łatwe ich odszukanie. Księgi rachunkowe i dowody księgowe należy przechowywać w należyty sposób i chronić przed niedozwolonymi zmianami, rozpowszechnianiem lub zniszczeniem.</w:t>
      </w:r>
    </w:p>
    <w:p w:rsidR="00F65905" w:rsidRPr="0017667B" w:rsidRDefault="00F65905" w:rsidP="0017667B">
      <w:pPr>
        <w:jc w:val="both"/>
        <w:rPr>
          <w:rFonts w:ascii="Verdana" w:hAnsi="Verdana"/>
          <w:sz w:val="20"/>
          <w:szCs w:val="20"/>
        </w:rPr>
      </w:pPr>
    </w:p>
    <w:sectPr w:rsidR="00F65905" w:rsidRPr="0017667B" w:rsidSect="0017667B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F1" w:rsidRDefault="00EE3FF1" w:rsidP="00601C23">
      <w:pPr>
        <w:spacing w:after="0" w:line="240" w:lineRule="auto"/>
      </w:pPr>
      <w:r>
        <w:separator/>
      </w:r>
    </w:p>
  </w:endnote>
  <w:endnote w:type="continuationSeparator" w:id="0">
    <w:p w:rsidR="00EE3FF1" w:rsidRDefault="00EE3FF1" w:rsidP="00601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pidPl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F1" w:rsidRPr="00B96256" w:rsidRDefault="00EE3FF1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Obywatele dla Demokracji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="003C169F" w:rsidRPr="00950CFE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950CFE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="003C169F" w:rsidRPr="00950CFE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17667B">
      <w:rPr>
        <w:rFonts w:ascii="Verdana" w:hAnsi="Verdana"/>
        <w:b/>
        <w:noProof/>
        <w:color w:val="236192"/>
        <w:sz w:val="16"/>
        <w:szCs w:val="16"/>
        <w:lang w:val="pl-PL"/>
      </w:rPr>
      <w:t>2</w:t>
    </w:r>
    <w:r w:rsidR="003C169F" w:rsidRPr="00950CFE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EE3FF1" w:rsidRPr="00B96256" w:rsidRDefault="00EE3FF1" w:rsidP="00A3263F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EE3FF1" w:rsidRPr="00B96256" w:rsidRDefault="00EE3FF1">
    <w:pPr>
      <w:pStyle w:val="Stopka"/>
      <w:rPr>
        <w:color w:val="236192"/>
        <w:sz w:val="16"/>
        <w:szCs w:val="16"/>
        <w:lang w:val="pl-PL"/>
      </w:rPr>
    </w:pPr>
  </w:p>
  <w:p w:rsidR="00EE3FF1" w:rsidRPr="00C11AD0" w:rsidRDefault="00EE3FF1" w:rsidP="00A3263F">
    <w:pPr>
      <w:pStyle w:val="Stopka"/>
      <w:rPr>
        <w:color w:val="5595FF"/>
        <w:sz w:val="16"/>
        <w:szCs w:val="16"/>
        <w:lang w:val="pl-P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F1" w:rsidRPr="00B96256" w:rsidRDefault="00EE3FF1" w:rsidP="00950CFE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>
      <w:rPr>
        <w:rFonts w:ascii="Verdana" w:hAnsi="Verdana"/>
        <w:b/>
        <w:color w:val="236192"/>
        <w:sz w:val="16"/>
        <w:szCs w:val="16"/>
        <w:lang w:val="pl-PL"/>
      </w:rPr>
      <w:tab/>
    </w:r>
    <w:r w:rsidRPr="00B96256">
      <w:rPr>
        <w:rFonts w:ascii="Verdana" w:hAnsi="Verdana"/>
        <w:b/>
        <w:color w:val="236192"/>
        <w:sz w:val="16"/>
        <w:szCs w:val="16"/>
        <w:lang w:val="pl-PL"/>
      </w:rPr>
      <w:t xml:space="preserve">Obywatele dla Demokracji </w:t>
    </w:r>
    <w:r>
      <w:rPr>
        <w:rFonts w:ascii="Verdana" w:hAnsi="Verdana"/>
        <w:b/>
        <w:color w:val="236192"/>
        <w:sz w:val="16"/>
        <w:szCs w:val="16"/>
        <w:lang w:val="pl-PL"/>
      </w:rPr>
      <w:tab/>
    </w:r>
    <w:r>
      <w:rPr>
        <w:rFonts w:ascii="Verdana" w:hAnsi="Verdana"/>
        <w:b/>
        <w:color w:val="236192"/>
        <w:sz w:val="16"/>
        <w:szCs w:val="16"/>
        <w:lang w:val="pl-PL"/>
      </w:rPr>
      <w:tab/>
    </w:r>
    <w:r w:rsidR="003C169F" w:rsidRPr="00950CFE">
      <w:rPr>
        <w:rFonts w:ascii="Verdana" w:hAnsi="Verdana"/>
        <w:b/>
        <w:color w:val="236192"/>
        <w:sz w:val="16"/>
        <w:szCs w:val="16"/>
        <w:lang w:val="pl-PL"/>
      </w:rPr>
      <w:fldChar w:fldCharType="begin"/>
    </w:r>
    <w:r w:rsidRPr="00950CFE">
      <w:rPr>
        <w:rFonts w:ascii="Verdana" w:hAnsi="Verdana"/>
        <w:b/>
        <w:color w:val="236192"/>
        <w:sz w:val="16"/>
        <w:szCs w:val="16"/>
        <w:lang w:val="pl-PL"/>
      </w:rPr>
      <w:instrText xml:space="preserve"> PAGE   \* MERGEFORMAT </w:instrText>
    </w:r>
    <w:r w:rsidR="003C169F" w:rsidRPr="00950CFE">
      <w:rPr>
        <w:rFonts w:ascii="Verdana" w:hAnsi="Verdana"/>
        <w:b/>
        <w:color w:val="236192"/>
        <w:sz w:val="16"/>
        <w:szCs w:val="16"/>
        <w:lang w:val="pl-PL"/>
      </w:rPr>
      <w:fldChar w:fldCharType="separate"/>
    </w:r>
    <w:r w:rsidR="0017667B">
      <w:rPr>
        <w:rFonts w:ascii="Verdana" w:hAnsi="Verdana"/>
        <w:b/>
        <w:noProof/>
        <w:color w:val="236192"/>
        <w:sz w:val="16"/>
        <w:szCs w:val="16"/>
        <w:lang w:val="pl-PL"/>
      </w:rPr>
      <w:t>1</w:t>
    </w:r>
    <w:r w:rsidR="003C169F" w:rsidRPr="00950CFE">
      <w:rPr>
        <w:rFonts w:ascii="Verdana" w:hAnsi="Verdana"/>
        <w:b/>
        <w:color w:val="236192"/>
        <w:sz w:val="16"/>
        <w:szCs w:val="16"/>
        <w:lang w:val="pl-PL"/>
      </w:rPr>
      <w:fldChar w:fldCharType="end"/>
    </w:r>
  </w:p>
  <w:p w:rsidR="00EE3FF1" w:rsidRPr="00B96256" w:rsidRDefault="00EE3FF1" w:rsidP="00950CFE">
    <w:pPr>
      <w:pStyle w:val="Stopka"/>
      <w:jc w:val="center"/>
      <w:rPr>
        <w:rFonts w:ascii="Verdana" w:hAnsi="Verdana"/>
        <w:b/>
        <w:color w:val="236192"/>
        <w:sz w:val="16"/>
        <w:szCs w:val="16"/>
        <w:lang w:val="pl-PL"/>
      </w:rPr>
    </w:pPr>
    <w:r w:rsidRPr="00B96256">
      <w:rPr>
        <w:rFonts w:ascii="Verdana" w:hAnsi="Verdana"/>
        <w:b/>
        <w:color w:val="236192"/>
        <w:sz w:val="16"/>
        <w:szCs w:val="16"/>
        <w:lang w:val="pl-PL"/>
      </w:rPr>
      <w:t>www.ngofund.org.pl</w:t>
    </w:r>
  </w:p>
  <w:p w:rsidR="00EE3FF1" w:rsidRPr="00B96256" w:rsidRDefault="00EE3FF1" w:rsidP="00950CFE">
    <w:pPr>
      <w:pStyle w:val="Stopka"/>
      <w:rPr>
        <w:color w:val="236192"/>
        <w:sz w:val="16"/>
        <w:szCs w:val="16"/>
        <w:lang w:val="pl-PL"/>
      </w:rPr>
    </w:pPr>
  </w:p>
  <w:p w:rsidR="00EE3FF1" w:rsidRPr="00950CFE" w:rsidRDefault="00EE3FF1">
    <w:pPr>
      <w:pStyle w:val="Stopka"/>
      <w:rPr>
        <w:lang w:val="pl-PL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F1" w:rsidRDefault="00EE3FF1" w:rsidP="00601C23">
      <w:pPr>
        <w:spacing w:after="0" w:line="240" w:lineRule="auto"/>
      </w:pPr>
      <w:r>
        <w:separator/>
      </w:r>
    </w:p>
  </w:footnote>
  <w:footnote w:type="continuationSeparator" w:id="0">
    <w:p w:rsidR="00EE3FF1" w:rsidRDefault="00EE3FF1" w:rsidP="00601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FF1" w:rsidRDefault="0017667B">
    <w:pPr>
      <w:pStyle w:val="Nagwek"/>
    </w:pPr>
    <w:r>
      <w:rPr>
        <w:noProof/>
        <w:lang w:val="pl-PL" w:eastAsia="pl-PL"/>
      </w:rPr>
      <w:drawing>
        <wp:inline distT="0" distB="0" distL="0" distR="0">
          <wp:extent cx="6120130" cy="789940"/>
          <wp:effectExtent l="19050" t="0" r="0" b="0"/>
          <wp:docPr id="2" name="Obraz 1" descr="naglowek_PL_kont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PL_kontu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89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00D73"/>
    <w:multiLevelType w:val="hybridMultilevel"/>
    <w:tmpl w:val="34F0233C"/>
    <w:lvl w:ilvl="0" w:tplc="04150017">
      <w:start w:val="1"/>
      <w:numFmt w:val="lowerLetter"/>
      <w:lvlText w:val="%1)"/>
      <w:lvlJc w:val="left"/>
      <w:pPr>
        <w:ind w:left="2702" w:hanging="360"/>
      </w:pPr>
    </w:lvl>
    <w:lvl w:ilvl="1" w:tplc="04150019" w:tentative="1">
      <w:start w:val="1"/>
      <w:numFmt w:val="lowerLetter"/>
      <w:lvlText w:val="%2."/>
      <w:lvlJc w:val="left"/>
      <w:pPr>
        <w:ind w:left="3422" w:hanging="360"/>
      </w:pPr>
    </w:lvl>
    <w:lvl w:ilvl="2" w:tplc="0415001B" w:tentative="1">
      <w:start w:val="1"/>
      <w:numFmt w:val="lowerRoman"/>
      <w:lvlText w:val="%3."/>
      <w:lvlJc w:val="right"/>
      <w:pPr>
        <w:ind w:left="4142" w:hanging="180"/>
      </w:pPr>
    </w:lvl>
    <w:lvl w:ilvl="3" w:tplc="0415000F" w:tentative="1">
      <w:start w:val="1"/>
      <w:numFmt w:val="decimal"/>
      <w:lvlText w:val="%4."/>
      <w:lvlJc w:val="left"/>
      <w:pPr>
        <w:ind w:left="4862" w:hanging="360"/>
      </w:pPr>
    </w:lvl>
    <w:lvl w:ilvl="4" w:tplc="04150019" w:tentative="1">
      <w:start w:val="1"/>
      <w:numFmt w:val="lowerLetter"/>
      <w:lvlText w:val="%5."/>
      <w:lvlJc w:val="left"/>
      <w:pPr>
        <w:ind w:left="5582" w:hanging="360"/>
      </w:pPr>
    </w:lvl>
    <w:lvl w:ilvl="5" w:tplc="0415001B" w:tentative="1">
      <w:start w:val="1"/>
      <w:numFmt w:val="lowerRoman"/>
      <w:lvlText w:val="%6."/>
      <w:lvlJc w:val="right"/>
      <w:pPr>
        <w:ind w:left="6302" w:hanging="180"/>
      </w:pPr>
    </w:lvl>
    <w:lvl w:ilvl="6" w:tplc="0415000F" w:tentative="1">
      <w:start w:val="1"/>
      <w:numFmt w:val="decimal"/>
      <w:lvlText w:val="%7."/>
      <w:lvlJc w:val="left"/>
      <w:pPr>
        <w:ind w:left="7022" w:hanging="360"/>
      </w:pPr>
    </w:lvl>
    <w:lvl w:ilvl="7" w:tplc="04150019" w:tentative="1">
      <w:start w:val="1"/>
      <w:numFmt w:val="lowerLetter"/>
      <w:lvlText w:val="%8."/>
      <w:lvlJc w:val="left"/>
      <w:pPr>
        <w:ind w:left="7742" w:hanging="360"/>
      </w:pPr>
    </w:lvl>
    <w:lvl w:ilvl="8" w:tplc="0415001B" w:tentative="1">
      <w:start w:val="1"/>
      <w:numFmt w:val="lowerRoman"/>
      <w:lvlText w:val="%9."/>
      <w:lvlJc w:val="right"/>
      <w:pPr>
        <w:ind w:left="8462" w:hanging="180"/>
      </w:pPr>
    </w:lvl>
  </w:abstractNum>
  <w:abstractNum w:abstractNumId="1">
    <w:nsid w:val="19561DFF"/>
    <w:multiLevelType w:val="hybridMultilevel"/>
    <w:tmpl w:val="D954EF00"/>
    <w:lvl w:ilvl="0" w:tplc="58D8D648">
      <w:start w:val="1"/>
      <w:numFmt w:val="lowerRoman"/>
      <w:lvlText w:val="%1)"/>
      <w:lvlJc w:val="left"/>
      <w:pPr>
        <w:ind w:left="1174" w:hanging="360"/>
      </w:pPr>
      <w:rPr>
        <w:rFonts w:ascii="Verdana" w:eastAsia="Times New Roman" w:hAnsi="Verdana" w:cs="CorpidP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B9023DB"/>
    <w:multiLevelType w:val="hybridMultilevel"/>
    <w:tmpl w:val="807EF7E2"/>
    <w:lvl w:ilvl="0" w:tplc="219EF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554AE5"/>
    <w:multiLevelType w:val="hybridMultilevel"/>
    <w:tmpl w:val="3F94A1F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209F32C6"/>
    <w:multiLevelType w:val="hybridMultilevel"/>
    <w:tmpl w:val="255EFD32"/>
    <w:lvl w:ilvl="0" w:tplc="3CAE560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227C81"/>
    <w:multiLevelType w:val="hybridMultilevel"/>
    <w:tmpl w:val="4E86BF7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B9B206A"/>
    <w:multiLevelType w:val="hybridMultilevel"/>
    <w:tmpl w:val="0DD886C2"/>
    <w:lvl w:ilvl="0" w:tplc="4C468B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EC4635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A15059"/>
    <w:multiLevelType w:val="hybridMultilevel"/>
    <w:tmpl w:val="C0B0C67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BE6EB7"/>
    <w:multiLevelType w:val="hybridMultilevel"/>
    <w:tmpl w:val="56A4347C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9">
    <w:nsid w:val="330F7D6E"/>
    <w:multiLevelType w:val="hybridMultilevel"/>
    <w:tmpl w:val="80A8115E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0">
    <w:nsid w:val="332A023B"/>
    <w:multiLevelType w:val="hybridMultilevel"/>
    <w:tmpl w:val="EF042CC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598A58AA">
      <w:start w:val="1"/>
      <w:numFmt w:val="decimal"/>
      <w:lvlText w:val="%2)"/>
      <w:lvlJc w:val="left"/>
      <w:pPr>
        <w:ind w:left="18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1">
    <w:nsid w:val="35C50FEF"/>
    <w:multiLevelType w:val="hybridMultilevel"/>
    <w:tmpl w:val="3B7A3412"/>
    <w:lvl w:ilvl="0" w:tplc="0EE83514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2">
    <w:nsid w:val="35FC38B8"/>
    <w:multiLevelType w:val="hybridMultilevel"/>
    <w:tmpl w:val="2E861A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976D9A"/>
    <w:multiLevelType w:val="hybridMultilevel"/>
    <w:tmpl w:val="18E0BA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E27C0E"/>
    <w:multiLevelType w:val="hybridMultilevel"/>
    <w:tmpl w:val="DC0A1C26"/>
    <w:lvl w:ilvl="0" w:tplc="DE560680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5">
    <w:nsid w:val="3EAD2688"/>
    <w:multiLevelType w:val="hybridMultilevel"/>
    <w:tmpl w:val="2A8CB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A3AFD"/>
    <w:multiLevelType w:val="hybridMultilevel"/>
    <w:tmpl w:val="FAFC30E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735401C8">
      <w:start w:val="1"/>
      <w:numFmt w:val="decimal"/>
      <w:lvlText w:val="%3.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424599F"/>
    <w:multiLevelType w:val="hybridMultilevel"/>
    <w:tmpl w:val="360E01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3008E5"/>
    <w:multiLevelType w:val="hybridMultilevel"/>
    <w:tmpl w:val="CC86A7F8"/>
    <w:lvl w:ilvl="0" w:tplc="30442C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934AD0"/>
    <w:multiLevelType w:val="hybridMultilevel"/>
    <w:tmpl w:val="8A66CFE8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0">
    <w:nsid w:val="5208513D"/>
    <w:multiLevelType w:val="hybridMultilevel"/>
    <w:tmpl w:val="9318AC8A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1">
    <w:nsid w:val="5A675BC3"/>
    <w:multiLevelType w:val="hybridMultilevel"/>
    <w:tmpl w:val="AA32BF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CE5F04"/>
    <w:multiLevelType w:val="hybridMultilevel"/>
    <w:tmpl w:val="62B638D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DEFB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6B6464"/>
    <w:multiLevelType w:val="multilevel"/>
    <w:tmpl w:val="2CBEF3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339966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683E54B9"/>
    <w:multiLevelType w:val="hybridMultilevel"/>
    <w:tmpl w:val="A14A1F94"/>
    <w:lvl w:ilvl="0" w:tplc="919CA3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C1D0B"/>
    <w:multiLevelType w:val="hybridMultilevel"/>
    <w:tmpl w:val="9D50862C"/>
    <w:lvl w:ilvl="0" w:tplc="C5E8D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Calibri" w:hAnsi="Verdana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D314AC3"/>
    <w:multiLevelType w:val="hybridMultilevel"/>
    <w:tmpl w:val="2A06978C"/>
    <w:lvl w:ilvl="0" w:tplc="6B74B19C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7">
    <w:nsid w:val="708E559A"/>
    <w:multiLevelType w:val="hybridMultilevel"/>
    <w:tmpl w:val="600E63A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0D13F96"/>
    <w:multiLevelType w:val="hybridMultilevel"/>
    <w:tmpl w:val="635AFE7E"/>
    <w:lvl w:ilvl="0" w:tplc="BF4A1B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cs="Times New Roman" w:hint="default"/>
        <w:b w:val="0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7"/>
  </w:num>
  <w:num w:numId="3">
    <w:abstractNumId w:val="7"/>
  </w:num>
  <w:num w:numId="4">
    <w:abstractNumId w:val="21"/>
  </w:num>
  <w:num w:numId="5">
    <w:abstractNumId w:val="22"/>
  </w:num>
  <w:num w:numId="6">
    <w:abstractNumId w:val="28"/>
  </w:num>
  <w:num w:numId="7">
    <w:abstractNumId w:val="4"/>
  </w:num>
  <w:num w:numId="8">
    <w:abstractNumId w:val="25"/>
  </w:num>
  <w:num w:numId="9">
    <w:abstractNumId w:val="2"/>
  </w:num>
  <w:num w:numId="10">
    <w:abstractNumId w:val="27"/>
  </w:num>
  <w:num w:numId="11">
    <w:abstractNumId w:val="18"/>
  </w:num>
  <w:num w:numId="12">
    <w:abstractNumId w:val="24"/>
  </w:num>
  <w:num w:numId="13">
    <w:abstractNumId w:val="13"/>
  </w:num>
  <w:num w:numId="14">
    <w:abstractNumId w:val="12"/>
  </w:num>
  <w:num w:numId="15">
    <w:abstractNumId w:val="15"/>
  </w:num>
  <w:num w:numId="16">
    <w:abstractNumId w:val="6"/>
  </w:num>
  <w:num w:numId="17">
    <w:abstractNumId w:val="16"/>
  </w:num>
  <w:num w:numId="18">
    <w:abstractNumId w:val="5"/>
  </w:num>
  <w:num w:numId="19">
    <w:abstractNumId w:val="0"/>
  </w:num>
  <w:num w:numId="20">
    <w:abstractNumId w:val="14"/>
  </w:num>
  <w:num w:numId="21">
    <w:abstractNumId w:val="1"/>
  </w:num>
  <w:num w:numId="22">
    <w:abstractNumId w:val="10"/>
  </w:num>
  <w:num w:numId="23">
    <w:abstractNumId w:val="11"/>
  </w:num>
  <w:num w:numId="24">
    <w:abstractNumId w:val="20"/>
  </w:num>
  <w:num w:numId="25">
    <w:abstractNumId w:val="26"/>
  </w:num>
  <w:num w:numId="26">
    <w:abstractNumId w:val="19"/>
  </w:num>
  <w:num w:numId="27">
    <w:abstractNumId w:val="9"/>
  </w:num>
  <w:num w:numId="28">
    <w:abstractNumId w:val="8"/>
  </w:num>
  <w:num w:numId="2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601C23"/>
    <w:rsid w:val="0003196E"/>
    <w:rsid w:val="0004209D"/>
    <w:rsid w:val="000935A6"/>
    <w:rsid w:val="0017667B"/>
    <w:rsid w:val="001C090E"/>
    <w:rsid w:val="001D5C2E"/>
    <w:rsid w:val="002272B8"/>
    <w:rsid w:val="0024538F"/>
    <w:rsid w:val="002B216A"/>
    <w:rsid w:val="00320749"/>
    <w:rsid w:val="003234C0"/>
    <w:rsid w:val="0032794C"/>
    <w:rsid w:val="003711B4"/>
    <w:rsid w:val="00384EDB"/>
    <w:rsid w:val="003C169F"/>
    <w:rsid w:val="004070E0"/>
    <w:rsid w:val="00426406"/>
    <w:rsid w:val="00442A1D"/>
    <w:rsid w:val="0045050A"/>
    <w:rsid w:val="00452E8B"/>
    <w:rsid w:val="0045533F"/>
    <w:rsid w:val="00516FBE"/>
    <w:rsid w:val="00561B6B"/>
    <w:rsid w:val="005B41B9"/>
    <w:rsid w:val="005C6628"/>
    <w:rsid w:val="00601C23"/>
    <w:rsid w:val="00612906"/>
    <w:rsid w:val="006165B2"/>
    <w:rsid w:val="0063032F"/>
    <w:rsid w:val="0067248F"/>
    <w:rsid w:val="006C1283"/>
    <w:rsid w:val="006F5800"/>
    <w:rsid w:val="00750A45"/>
    <w:rsid w:val="00780587"/>
    <w:rsid w:val="007E24A4"/>
    <w:rsid w:val="007F045F"/>
    <w:rsid w:val="00856B2A"/>
    <w:rsid w:val="008A462A"/>
    <w:rsid w:val="008C2F48"/>
    <w:rsid w:val="00950CFE"/>
    <w:rsid w:val="00A3263F"/>
    <w:rsid w:val="00A44BA9"/>
    <w:rsid w:val="00A8306B"/>
    <w:rsid w:val="00AA7253"/>
    <w:rsid w:val="00B0016E"/>
    <w:rsid w:val="00B87F6D"/>
    <w:rsid w:val="00B96256"/>
    <w:rsid w:val="00BA0436"/>
    <w:rsid w:val="00BD521D"/>
    <w:rsid w:val="00C11AD0"/>
    <w:rsid w:val="00C51093"/>
    <w:rsid w:val="00C56095"/>
    <w:rsid w:val="00C61847"/>
    <w:rsid w:val="00C74A51"/>
    <w:rsid w:val="00D46AF1"/>
    <w:rsid w:val="00D472A5"/>
    <w:rsid w:val="00D53846"/>
    <w:rsid w:val="00DA00E0"/>
    <w:rsid w:val="00DE345F"/>
    <w:rsid w:val="00DE49B5"/>
    <w:rsid w:val="00E5672C"/>
    <w:rsid w:val="00E61BB8"/>
    <w:rsid w:val="00E67FB5"/>
    <w:rsid w:val="00ED227D"/>
    <w:rsid w:val="00EE3FF1"/>
    <w:rsid w:val="00F577AC"/>
    <w:rsid w:val="00F65905"/>
    <w:rsid w:val="00F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462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601C23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601C2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601C23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C23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C23"/>
    <w:rPr>
      <w:rFonts w:ascii="Tahoma" w:hAnsi="Tahoma" w:cs="Tahoma"/>
      <w:sz w:val="16"/>
      <w:szCs w:val="16"/>
      <w:lang w:val="en-US"/>
    </w:rPr>
  </w:style>
  <w:style w:type="paragraph" w:styleId="NormalnyWeb">
    <w:name w:val="Normal (Web)"/>
    <w:basedOn w:val="Normalny"/>
    <w:uiPriority w:val="99"/>
    <w:unhideWhenUsed/>
    <w:rsid w:val="00601C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63F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462A"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462A"/>
    <w:rPr>
      <w:rFonts w:ascii="Cambria" w:eastAsia="Calibri" w:hAnsi="Cambria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272B8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950CFE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950CF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2214</Words>
  <Characters>13285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2</cp:revision>
  <cp:lastPrinted>2014-03-04T14:06:00Z</cp:lastPrinted>
  <dcterms:created xsi:type="dcterms:W3CDTF">2014-07-31T10:35:00Z</dcterms:created>
  <dcterms:modified xsi:type="dcterms:W3CDTF">2014-07-31T10:35:00Z</dcterms:modified>
</cp:coreProperties>
</file>