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E5" w:rsidRPr="0032052F" w:rsidRDefault="00EB49D1" w:rsidP="00EA5FA0">
      <w:pPr>
        <w:spacing w:after="0" w:line="240" w:lineRule="auto"/>
        <w:rPr>
          <w:rFonts w:asciiTheme="majorHAnsi" w:hAnsiTheme="majorHAnsi"/>
        </w:rPr>
      </w:pPr>
      <w:r w:rsidRPr="0032052F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5760720" cy="628153"/>
            <wp:effectExtent l="19050" t="0" r="0" b="0"/>
            <wp:docPr id="1" name="Obraz 2" descr="H:\System\Pulpit\baner_loga_a4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ystem\Pulpit\baner_loga_a4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6C2" w:rsidRPr="0032052F" w:rsidRDefault="008166C2" w:rsidP="00EA5F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</w:rPr>
      </w:pPr>
    </w:p>
    <w:p w:rsidR="00605645" w:rsidRPr="0095494E" w:rsidRDefault="00605645" w:rsidP="00605645">
      <w:pPr>
        <w:autoSpaceDE w:val="0"/>
        <w:autoSpaceDN w:val="0"/>
        <w:adjustRightInd w:val="0"/>
        <w:contextualSpacing/>
        <w:rPr>
          <w:rFonts w:asciiTheme="majorHAnsi" w:hAnsiTheme="majorHAnsi" w:cs="CorpidPl"/>
          <w:b/>
          <w:color w:val="0056A8"/>
        </w:rPr>
      </w:pPr>
      <w:r>
        <w:rPr>
          <w:rFonts w:asciiTheme="majorHAnsi" w:hAnsiTheme="majorHAnsi" w:cs="CorpidPl"/>
          <w:b/>
          <w:color w:val="0056A8"/>
        </w:rPr>
        <w:t>Załącznik nr 2</w:t>
      </w:r>
    </w:p>
    <w:p w:rsidR="00605645" w:rsidRPr="0095494E" w:rsidRDefault="00605645" w:rsidP="00605645">
      <w:pPr>
        <w:autoSpaceDE w:val="0"/>
        <w:autoSpaceDN w:val="0"/>
        <w:adjustRightInd w:val="0"/>
        <w:contextualSpacing/>
        <w:rPr>
          <w:rFonts w:asciiTheme="majorHAnsi" w:hAnsiTheme="majorHAnsi" w:cs="CorpidPl"/>
          <w:b/>
          <w:color w:val="0056A8"/>
        </w:rPr>
      </w:pPr>
      <w:r w:rsidRPr="0095494E">
        <w:rPr>
          <w:rFonts w:asciiTheme="majorHAnsi" w:hAnsiTheme="majorHAnsi" w:cs="CorpidPl"/>
          <w:b/>
          <w:color w:val="0056A8"/>
        </w:rPr>
        <w:t xml:space="preserve">Zasady i wymogi dotyczące realizacji projektu oraz wykorzystania, rozliczania i dokumentowania wydatków pokrywanych z dotacji </w:t>
      </w:r>
    </w:p>
    <w:p w:rsidR="00605645" w:rsidRPr="0095494E" w:rsidRDefault="00605645" w:rsidP="00605645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605645" w:rsidRPr="00A50578" w:rsidRDefault="00605645" w:rsidP="00EF18C5">
      <w:pPr>
        <w:autoSpaceDE w:val="0"/>
        <w:autoSpaceDN w:val="0"/>
        <w:adjustRightInd w:val="0"/>
        <w:contextualSpacing/>
        <w:rPr>
          <w:rFonts w:asciiTheme="majorHAnsi" w:hAnsiTheme="majorHAnsi"/>
          <w:sz w:val="21"/>
          <w:szCs w:val="21"/>
        </w:rPr>
      </w:pPr>
      <w:r w:rsidRPr="00A50578">
        <w:rPr>
          <w:rFonts w:asciiTheme="majorHAnsi" w:hAnsiTheme="majorHAnsi"/>
          <w:b/>
          <w:sz w:val="21"/>
          <w:szCs w:val="21"/>
        </w:rPr>
        <w:t xml:space="preserve">Zasada ogólna: </w:t>
      </w:r>
      <w:r w:rsidRPr="00A50578">
        <w:rPr>
          <w:rFonts w:asciiTheme="majorHAnsi" w:hAnsiTheme="majorHAnsi"/>
          <w:sz w:val="21"/>
          <w:szCs w:val="21"/>
        </w:rPr>
        <w:t xml:space="preserve">Projekt powinien być realizowany z uwzględnieniem interesu publicznego, wartości </w:t>
      </w:r>
      <w:r w:rsidR="00A50578">
        <w:rPr>
          <w:rFonts w:asciiTheme="majorHAnsi" w:hAnsiTheme="majorHAnsi"/>
          <w:sz w:val="21"/>
          <w:szCs w:val="21"/>
        </w:rPr>
        <w:t>d</w:t>
      </w:r>
      <w:r w:rsidRPr="00A50578">
        <w:rPr>
          <w:rFonts w:asciiTheme="majorHAnsi" w:hAnsiTheme="majorHAnsi"/>
          <w:sz w:val="21"/>
          <w:szCs w:val="21"/>
        </w:rPr>
        <w:t xml:space="preserve">emokratycznych i praw człowieka oraz zasad dobrego rządzenia, równych szans i  </w:t>
      </w: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zrównoważonego rozwoju.</w:t>
      </w:r>
      <w:r w:rsidR="00A50578" w:rsidRPr="00A50578">
        <w:rPr>
          <w:rFonts w:asciiTheme="majorHAnsi" w:hAnsiTheme="majorHAnsi"/>
          <w:sz w:val="21"/>
          <w:szCs w:val="21"/>
        </w:rPr>
        <w:br/>
      </w:r>
    </w:p>
    <w:p w:rsidR="00605645" w:rsidRPr="00A50578" w:rsidRDefault="00605645" w:rsidP="00605645">
      <w:pPr>
        <w:autoSpaceDE w:val="0"/>
        <w:autoSpaceDN w:val="0"/>
        <w:adjustRightInd w:val="0"/>
        <w:spacing w:after="120"/>
        <w:rPr>
          <w:rFonts w:asciiTheme="majorHAnsi" w:hAnsiTheme="majorHAnsi"/>
          <w:b/>
          <w:sz w:val="21"/>
          <w:szCs w:val="21"/>
        </w:rPr>
      </w:pPr>
      <w:r w:rsidRPr="00A50578">
        <w:rPr>
          <w:rFonts w:asciiTheme="majorHAnsi" w:hAnsiTheme="majorHAnsi"/>
          <w:b/>
          <w:sz w:val="21"/>
          <w:szCs w:val="21"/>
        </w:rPr>
        <w:t>1.Wydatki, jakie mogą być pokryte z dotacji</w:t>
      </w:r>
    </w:p>
    <w:p w:rsidR="00605645" w:rsidRPr="00A50578" w:rsidRDefault="00605645" w:rsidP="00605645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</w:rPr>
      </w:pPr>
      <w:r w:rsidRPr="00A50578">
        <w:rPr>
          <w:rFonts w:asciiTheme="majorHAnsi" w:hAnsiTheme="majorHAnsi"/>
          <w:sz w:val="21"/>
          <w:szCs w:val="21"/>
        </w:rPr>
        <w:t>Z dotacji można pokryć następujące wydatki:</w:t>
      </w:r>
    </w:p>
    <w:p w:rsidR="00605645" w:rsidRPr="00A50578" w:rsidRDefault="00605645" w:rsidP="00605645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contextualSpacing w:val="0"/>
        <w:rPr>
          <w:rFonts w:asciiTheme="majorHAnsi" w:hAnsiTheme="majorHAnsi"/>
          <w:sz w:val="21"/>
          <w:szCs w:val="21"/>
        </w:rPr>
      </w:pPr>
      <w:r w:rsidRPr="00A50578">
        <w:rPr>
          <w:rFonts w:asciiTheme="majorHAnsi" w:hAnsiTheme="majorHAnsi"/>
          <w:sz w:val="21"/>
          <w:szCs w:val="21"/>
        </w:rPr>
        <w:t>opłaty i koszty podróży związane z udziałem w spotkaniach, seminariach itp. z zastrzeżeniem, że koszty podróży (przejazd/przelot, transport lokalny, zakwaterowanie i wyżywienie  jednej osoby nie mogą przekroczyć 2 000 euro);</w:t>
      </w:r>
    </w:p>
    <w:p w:rsidR="00605645" w:rsidRPr="00A50578" w:rsidRDefault="00605645" w:rsidP="00605645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contextualSpacing w:val="0"/>
        <w:rPr>
          <w:rFonts w:asciiTheme="majorHAnsi" w:hAnsiTheme="majorHAnsi"/>
          <w:sz w:val="21"/>
          <w:szCs w:val="21"/>
        </w:rPr>
      </w:pPr>
      <w:r w:rsidRPr="00A50578">
        <w:rPr>
          <w:rFonts w:asciiTheme="majorHAnsi" w:hAnsiTheme="majorHAnsi"/>
          <w:sz w:val="21"/>
          <w:szCs w:val="21"/>
        </w:rPr>
        <w:t>koszty organizacji spotkań, seminariów itp.;</w:t>
      </w:r>
    </w:p>
    <w:p w:rsidR="00605645" w:rsidRPr="00A50578" w:rsidRDefault="00605645" w:rsidP="00605645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contextualSpacing w:val="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/>
          <w:sz w:val="21"/>
          <w:szCs w:val="21"/>
        </w:rPr>
        <w:t>inne koszty, np. honoraria ekspertów, koszty analiz, zakup danych, działania promocyjne i informacyjne.</w:t>
      </w:r>
    </w:p>
    <w:p w:rsidR="00605645" w:rsidRPr="00A50578" w:rsidRDefault="00A50578" w:rsidP="00605645">
      <w:pPr>
        <w:autoSpaceDE w:val="0"/>
        <w:autoSpaceDN w:val="0"/>
        <w:adjustRightInd w:val="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b/>
          <w:bCs/>
          <w:color w:val="000000"/>
          <w:spacing w:val="-1"/>
          <w:sz w:val="21"/>
          <w:szCs w:val="21"/>
        </w:rPr>
        <w:br/>
      </w:r>
      <w:r w:rsidR="00605645" w:rsidRPr="00A50578">
        <w:rPr>
          <w:rFonts w:asciiTheme="majorHAnsi" w:hAnsiTheme="majorHAnsi" w:cs="CorpidPl"/>
          <w:b/>
          <w:bCs/>
          <w:color w:val="000000"/>
          <w:spacing w:val="-1"/>
          <w:sz w:val="21"/>
          <w:szCs w:val="21"/>
        </w:rPr>
        <w:t xml:space="preserve">2. Wydatki </w:t>
      </w:r>
      <w:proofErr w:type="spellStart"/>
      <w:r w:rsidR="00605645" w:rsidRPr="00A50578">
        <w:rPr>
          <w:rFonts w:asciiTheme="majorHAnsi" w:hAnsiTheme="majorHAnsi" w:cs="CorpidPl"/>
          <w:b/>
          <w:bCs/>
          <w:color w:val="000000"/>
          <w:spacing w:val="-1"/>
          <w:sz w:val="21"/>
          <w:szCs w:val="21"/>
        </w:rPr>
        <w:t>kwalifikowalne</w:t>
      </w:r>
      <w:proofErr w:type="spellEnd"/>
    </w:p>
    <w:p w:rsidR="00605645" w:rsidRPr="00A50578" w:rsidRDefault="00605645" w:rsidP="00605645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Wydatki są kwalifikowane, o ile spełniają łącznie poniższe kryteria:</w:t>
      </w:r>
    </w:p>
    <w:p w:rsidR="00605645" w:rsidRPr="00A50578" w:rsidRDefault="00605645" w:rsidP="006056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zostały poniesione między pierwszym a ostatnim dniem realizacji projektu określonym w umowie;</w:t>
      </w:r>
    </w:p>
    <w:p w:rsidR="00605645" w:rsidRPr="00A50578" w:rsidRDefault="00605645" w:rsidP="006056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mają bezpośredni związek z realizowanym projektem i zostały zaplanowane w budżecie;</w:t>
      </w:r>
    </w:p>
    <w:p w:rsidR="00605645" w:rsidRPr="00A50578" w:rsidRDefault="00605645" w:rsidP="006056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są adekwatne i niezbędne do realizacji projektu;</w:t>
      </w:r>
    </w:p>
    <w:p w:rsidR="00605645" w:rsidRPr="00A50578" w:rsidRDefault="00605645" w:rsidP="006056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są związane wyłącznie z realizacją celów i osiągnięciem zamierzonych rezultatów oraz zostały poniesione racjonalnie i efektywnie;</w:t>
      </w:r>
    </w:p>
    <w:p w:rsidR="00605645" w:rsidRPr="00A50578" w:rsidRDefault="00605645" w:rsidP="006056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są poparte stosownymi dokumentami księgowymi wprowadzonymi do ewidencji księgowej zgodnie z obowiązującymi przepisami prawa o rachunkowości i zasadami ustalonymi w polityce rachunkowości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Grantobiorcy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;</w:t>
      </w:r>
    </w:p>
    <w:p w:rsidR="00605645" w:rsidRPr="00A50578" w:rsidRDefault="00605645" w:rsidP="006056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są zgodne z obowiązującym ustawodawstwem podatkowym i ubezpieczeń społecznych;</w:t>
      </w:r>
    </w:p>
    <w:p w:rsidR="00605645" w:rsidRPr="00A50578" w:rsidRDefault="00605645" w:rsidP="006056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zostały poniesione zgodnie z wymogami dotyczącymi podatku VAT i zamówień publicznych, opisanymi w punkcie 3 i 4 poniżej.</w:t>
      </w:r>
    </w:p>
    <w:p w:rsidR="00605645" w:rsidRPr="00A50578" w:rsidRDefault="00605645" w:rsidP="00605645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Wydatki uważa się za poniesione wówczas, gdy faktura (</w:t>
      </w:r>
      <w:r w:rsidRPr="00A50578">
        <w:rPr>
          <w:rFonts w:asciiTheme="majorHAnsi" w:hAnsiTheme="majorHAnsi"/>
          <w:sz w:val="21"/>
          <w:szCs w:val="21"/>
        </w:rPr>
        <w:t xml:space="preserve">lub inny dokument księgowy o równoważnej wartości  dowodowej) </w:t>
      </w: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została wystawiona i zapłacona, a przedmiot został dostarczony/usługa została wykonana. Wyjątek od tej reguły stanowią: </w:t>
      </w:r>
    </w:p>
    <w:p w:rsidR="00605645" w:rsidRPr="00A50578" w:rsidRDefault="00605645" w:rsidP="0060564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rPr>
          <w:rFonts w:asciiTheme="majorHAnsi" w:hAnsiTheme="majorHAnsi"/>
          <w:sz w:val="21"/>
          <w:szCs w:val="21"/>
        </w:rPr>
      </w:pPr>
      <w:r w:rsidRPr="00A50578">
        <w:rPr>
          <w:rFonts w:asciiTheme="majorHAnsi" w:hAnsiTheme="majorHAnsi"/>
          <w:sz w:val="21"/>
          <w:szCs w:val="21"/>
        </w:rPr>
        <w:t>rozliczenia dokonywane na podstawie wewnętrznych dowodów księgowych;</w:t>
      </w:r>
    </w:p>
    <w:p w:rsidR="00605645" w:rsidRPr="00A50578" w:rsidRDefault="00605645" w:rsidP="0060564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rPr>
          <w:rFonts w:asciiTheme="majorHAnsi" w:hAnsiTheme="majorHAnsi"/>
          <w:sz w:val="21"/>
          <w:szCs w:val="21"/>
        </w:rPr>
      </w:pPr>
      <w:r w:rsidRPr="00A50578">
        <w:rPr>
          <w:rFonts w:asciiTheme="majorHAnsi" w:hAnsiTheme="majorHAnsi"/>
          <w:sz w:val="21"/>
          <w:szCs w:val="21"/>
        </w:rPr>
        <w:t>kompensata (potrącenie) należności;</w:t>
      </w:r>
    </w:p>
    <w:p w:rsidR="00605645" w:rsidRPr="00A50578" w:rsidRDefault="00605645" w:rsidP="0060564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rPr>
          <w:rFonts w:asciiTheme="majorHAnsi" w:hAnsiTheme="majorHAnsi"/>
          <w:sz w:val="21"/>
          <w:szCs w:val="21"/>
        </w:rPr>
      </w:pPr>
      <w:r w:rsidRPr="00A50578">
        <w:rPr>
          <w:rFonts w:asciiTheme="majorHAnsi" w:hAnsiTheme="majorHAnsi"/>
          <w:sz w:val="21"/>
          <w:szCs w:val="21"/>
        </w:rPr>
        <w:t>wydatki poniesione w terminie 30 dni od ostatniego dnia realizacji projektu określonego w umowie, dotyczące płatności faktur i rachunków wystawionych w trakcie realizacji projektu oraz wymaganych płatności podatków.</w:t>
      </w:r>
      <w:r w:rsidRPr="00A50578">
        <w:rPr>
          <w:rFonts w:asciiTheme="majorHAnsi" w:hAnsiTheme="majorHAnsi"/>
          <w:sz w:val="21"/>
          <w:szCs w:val="21"/>
        </w:rPr>
        <w:br/>
      </w:r>
    </w:p>
    <w:p w:rsidR="00605645" w:rsidRPr="00A50578" w:rsidRDefault="00605645" w:rsidP="00605645">
      <w:pPr>
        <w:autoSpaceDE w:val="0"/>
        <w:autoSpaceDN w:val="0"/>
        <w:adjustRightInd w:val="0"/>
        <w:ind w:left="142"/>
        <w:textAlignment w:val="center"/>
        <w:rPr>
          <w:rFonts w:asciiTheme="majorHAnsi" w:hAnsiTheme="majorHAnsi"/>
          <w:sz w:val="21"/>
          <w:szCs w:val="21"/>
        </w:rPr>
      </w:pPr>
      <w:proofErr w:type="spellStart"/>
      <w:r w:rsidRPr="00A50578">
        <w:rPr>
          <w:rFonts w:asciiTheme="majorHAnsi" w:hAnsiTheme="majorHAnsi"/>
          <w:sz w:val="21"/>
          <w:szCs w:val="21"/>
        </w:rPr>
        <w:t>Grantobiorców</w:t>
      </w:r>
      <w:proofErr w:type="spellEnd"/>
      <w:r w:rsidRPr="00A50578">
        <w:rPr>
          <w:rFonts w:asciiTheme="majorHAnsi" w:hAnsiTheme="majorHAnsi"/>
          <w:sz w:val="21"/>
          <w:szCs w:val="21"/>
        </w:rPr>
        <w:t xml:space="preserve"> obowiązują wysokości diet oraz limity na nocleg w poszczególnych państwach zgodnych z Rozporządzeniem Ministra Pracy i Polityki Społecznej z dnia 29 stycznia 2013 w sprawie należności przysługujących pracownikowi zatrudnionemu w państwowej lub samorządowej jednostce budżetowej z tytułu podróży służbowej.</w:t>
      </w:r>
    </w:p>
    <w:p w:rsidR="00605645" w:rsidRPr="00A50578" w:rsidRDefault="00605645" w:rsidP="00605645">
      <w:pPr>
        <w:autoSpaceDE w:val="0"/>
        <w:autoSpaceDN w:val="0"/>
        <w:adjustRightInd w:val="0"/>
        <w:ind w:left="142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/>
          <w:sz w:val="21"/>
          <w:szCs w:val="21"/>
        </w:rPr>
        <w:t>W przypadku podróży standardem jest do korzystanie z klasy drugiej lub ekonomicznej.</w:t>
      </w:r>
    </w:p>
    <w:p w:rsidR="00605645" w:rsidRPr="00A50578" w:rsidRDefault="00605645" w:rsidP="00605645">
      <w:pPr>
        <w:autoSpaceDE w:val="0"/>
        <w:autoSpaceDN w:val="0"/>
        <w:adjustRightInd w:val="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Wydatki nie spełniające powyższych kryteriów traktowane są jako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niekwalifikowalne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.</w:t>
      </w:r>
    </w:p>
    <w:p w:rsidR="00605645" w:rsidRPr="00A50578" w:rsidRDefault="00605645" w:rsidP="0060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b/>
          <w:color w:val="000000"/>
          <w:spacing w:val="-1"/>
          <w:sz w:val="21"/>
          <w:szCs w:val="21"/>
        </w:rPr>
        <w:t>UWAGA!</w:t>
      </w: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 </w:t>
      </w:r>
    </w:p>
    <w:p w:rsidR="00605645" w:rsidRPr="00A50578" w:rsidRDefault="00605645" w:rsidP="0060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/>
        <w:ind w:left="142"/>
        <w:textAlignment w:val="center"/>
        <w:rPr>
          <w:rFonts w:asciiTheme="majorHAnsi" w:hAnsiTheme="majorHAnsi"/>
          <w:sz w:val="21"/>
          <w:szCs w:val="21"/>
        </w:rPr>
      </w:pPr>
      <w:r w:rsidRPr="00A50578">
        <w:rPr>
          <w:rFonts w:asciiTheme="majorHAnsi" w:hAnsiTheme="majorHAnsi" w:cs="CorpidPl"/>
          <w:spacing w:val="-1"/>
          <w:sz w:val="21"/>
          <w:szCs w:val="21"/>
        </w:rPr>
        <w:t xml:space="preserve">Zgodnie z zasadami dobrego rządzenia i przeciwdziałania konfliktowi interesów </w:t>
      </w:r>
      <w:r w:rsidRPr="00A50578">
        <w:rPr>
          <w:rFonts w:asciiTheme="majorHAnsi" w:hAnsiTheme="majorHAnsi"/>
          <w:sz w:val="21"/>
          <w:szCs w:val="21"/>
        </w:rPr>
        <w:t xml:space="preserve">do realizacji projektu nie powinny być zatrudniane osoby pozostające w związku pokrewieństwa, opieki lub kurateli z członkami organów zarządzających lub nadzorczych </w:t>
      </w:r>
      <w:proofErr w:type="spellStart"/>
      <w:r w:rsidRPr="00A50578">
        <w:rPr>
          <w:rFonts w:asciiTheme="majorHAnsi" w:hAnsiTheme="majorHAnsi"/>
          <w:sz w:val="21"/>
          <w:szCs w:val="21"/>
        </w:rPr>
        <w:t>Grantobiorcy</w:t>
      </w:r>
      <w:proofErr w:type="spellEnd"/>
      <w:r w:rsidRPr="00A50578">
        <w:rPr>
          <w:rFonts w:asciiTheme="majorHAnsi" w:hAnsiTheme="majorHAnsi"/>
          <w:sz w:val="21"/>
          <w:szCs w:val="21"/>
        </w:rPr>
        <w:t xml:space="preserve">, a zakup towarów lub usług od podmiotów, będących (współ)własnością członków organów lub pracowników </w:t>
      </w:r>
      <w:proofErr w:type="spellStart"/>
      <w:r w:rsidRPr="00A50578">
        <w:rPr>
          <w:rFonts w:asciiTheme="majorHAnsi" w:hAnsiTheme="majorHAnsi"/>
          <w:sz w:val="21"/>
          <w:szCs w:val="21"/>
        </w:rPr>
        <w:t>Grantobiorcy</w:t>
      </w:r>
      <w:proofErr w:type="spellEnd"/>
      <w:r w:rsidRPr="00A50578">
        <w:rPr>
          <w:rFonts w:asciiTheme="majorHAnsi" w:hAnsiTheme="majorHAnsi"/>
          <w:sz w:val="21"/>
          <w:szCs w:val="21"/>
        </w:rPr>
        <w:t xml:space="preserve"> nie może odbywać się  na zasadach innych niż w stosunku do osób trzecich lub po cenach wyższych niż rynkowe. </w:t>
      </w:r>
    </w:p>
    <w:p w:rsidR="00605645" w:rsidRPr="00A50578" w:rsidRDefault="00605645" w:rsidP="0060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/>
        <w:ind w:left="142"/>
        <w:textAlignment w:val="center"/>
        <w:rPr>
          <w:rFonts w:asciiTheme="majorHAnsi" w:hAnsiTheme="majorHAnsi"/>
          <w:sz w:val="21"/>
          <w:szCs w:val="21"/>
        </w:rPr>
      </w:pPr>
      <w:r w:rsidRPr="00A50578">
        <w:rPr>
          <w:rFonts w:asciiTheme="majorHAnsi" w:hAnsiTheme="majorHAnsi" w:cs="CorpidPl"/>
          <w:spacing w:val="-1"/>
          <w:sz w:val="21"/>
          <w:szCs w:val="21"/>
        </w:rPr>
        <w:lastRenderedPageBreak/>
        <w:t>Dla zachowania zasady</w:t>
      </w:r>
      <w:r w:rsidRPr="00A50578">
        <w:rPr>
          <w:rFonts w:asciiTheme="majorHAnsi" w:hAnsiTheme="majorHAnsi"/>
          <w:sz w:val="21"/>
          <w:szCs w:val="21"/>
        </w:rPr>
        <w:t xml:space="preserve"> równych szans </w:t>
      </w:r>
      <w:proofErr w:type="spellStart"/>
      <w:r w:rsidRPr="00A50578">
        <w:rPr>
          <w:rFonts w:asciiTheme="majorHAnsi" w:hAnsiTheme="majorHAnsi"/>
          <w:sz w:val="21"/>
          <w:szCs w:val="21"/>
        </w:rPr>
        <w:t>Grantobiorca</w:t>
      </w:r>
      <w:proofErr w:type="spellEnd"/>
      <w:r w:rsidRPr="00A50578">
        <w:rPr>
          <w:rFonts w:asciiTheme="majorHAnsi" w:hAnsiTheme="majorHAnsi"/>
          <w:sz w:val="21"/>
          <w:szCs w:val="21"/>
        </w:rPr>
        <w:t xml:space="preserve"> nie może pobierać jakichkolwiek wpłat, czy opłat od adresatów/uczestników projektu,.</w:t>
      </w:r>
    </w:p>
    <w:p w:rsidR="00605645" w:rsidRPr="00A50578" w:rsidRDefault="00605645" w:rsidP="0060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/>
        <w:ind w:left="142"/>
        <w:textAlignment w:val="center"/>
        <w:rPr>
          <w:rFonts w:asciiTheme="majorHAnsi" w:hAnsiTheme="majorHAnsi" w:cs="CorpidPl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spacing w:val="-1"/>
          <w:sz w:val="21"/>
          <w:szCs w:val="21"/>
        </w:rPr>
        <w:t xml:space="preserve">Działania podejmowane w ramach projektu nie mogą być działaniami komercyjnymi, prowadzonymi dla zysku. </w:t>
      </w:r>
    </w:p>
    <w:p w:rsidR="00605645" w:rsidRPr="00A50578" w:rsidRDefault="00605645" w:rsidP="00605645">
      <w:pPr>
        <w:autoSpaceDE w:val="0"/>
        <w:autoSpaceDN w:val="0"/>
        <w:adjustRightInd w:val="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b/>
          <w:bCs/>
          <w:color w:val="000000"/>
          <w:spacing w:val="28"/>
          <w:sz w:val="21"/>
          <w:szCs w:val="21"/>
        </w:rPr>
        <w:t>3. Podatek od towarów i usług (VAT)</w:t>
      </w:r>
    </w:p>
    <w:p w:rsidR="00605645" w:rsidRPr="00A50578" w:rsidRDefault="00605645" w:rsidP="00605645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Podatek od towarów i usług (VAT) może być uznany za wydatek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kwalifikowalny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 tylko wtedy, gdy został poniesiony przez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Grantobiorcę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 oraz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Grantobiorca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 nie ma możliwości odzyskania podatku zgodnie z przepisami ustawy z dnia 11 marca 2004 r. o podatku od towarów i usług (Dz. U. z 2011 r. Nr 177, poz. 1054,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j.t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. z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późn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. zm.).</w:t>
      </w:r>
    </w:p>
    <w:p w:rsidR="00605645" w:rsidRPr="00A50578" w:rsidRDefault="00605645" w:rsidP="00605645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Jeżeli podatek od towarów i usług (VAT) może być częściowo odzyskany,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kwalifikowalna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 jest ta część podatku, która nie może zostać odzyskana.</w:t>
      </w:r>
    </w:p>
    <w:p w:rsidR="00605645" w:rsidRPr="00A50578" w:rsidRDefault="00605645" w:rsidP="00605645">
      <w:pPr>
        <w:keepNext/>
        <w:autoSpaceDE w:val="0"/>
        <w:autoSpaceDN w:val="0"/>
        <w:adjustRightInd w:val="0"/>
        <w:textAlignment w:val="center"/>
        <w:rPr>
          <w:rFonts w:asciiTheme="majorHAnsi" w:hAnsiTheme="majorHAnsi" w:cs="CorpidPl"/>
          <w:b/>
          <w:bCs/>
          <w:color w:val="000000"/>
          <w:spacing w:val="28"/>
          <w:sz w:val="21"/>
          <w:szCs w:val="21"/>
        </w:rPr>
      </w:pPr>
      <w:r w:rsidRPr="00A50578">
        <w:rPr>
          <w:rFonts w:asciiTheme="majorHAnsi" w:hAnsiTheme="majorHAnsi" w:cs="CorpidPl"/>
          <w:b/>
          <w:bCs/>
          <w:color w:val="000000"/>
          <w:spacing w:val="28"/>
          <w:sz w:val="21"/>
          <w:szCs w:val="21"/>
        </w:rPr>
        <w:t>4. Zamówienia publiczne</w:t>
      </w:r>
    </w:p>
    <w:p w:rsidR="00605645" w:rsidRPr="00A50578" w:rsidRDefault="00605645" w:rsidP="00605645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Grantobiorcy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 zobowiązani są do składania zamówień i zawierania umów zgodnie z najlepszymi praktykami gospodarności, równego traktowania potencjalnych wykonawców i zapewnienia uczciwej konkurencji między nimi oraz do efektywnego wykorzystania środków bez względu na wartość zamówienia.</w:t>
      </w:r>
    </w:p>
    <w:p w:rsidR="00605645" w:rsidRPr="00A50578" w:rsidRDefault="00605645" w:rsidP="00605645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Grantobiorcy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 nie są zobowiązani do stosowania przepisów ustawy o zamówieniach publicznych.</w:t>
      </w:r>
    </w:p>
    <w:p w:rsidR="00605645" w:rsidRPr="00A50578" w:rsidRDefault="00605645" w:rsidP="00605645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W przypadku zakupu towaru lub usługi o wartości przekraczającej 20 000 zł (ok. 5 000 euro).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Grantobiorca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 jest zobowiązany do zebrania co najmniej trzech równoważnych ofert (rozeznanie rynku). Za ofertę równoważną uważa się taką, która przedstawia opis przedmiotu zamówienia o parametrach zbliżonych do tych, jakie zostały określone we wniosku. Oferty mogą być zbierane w różnej formie, mogą to być np. publikowane cenniki lub odpowiedzi na zapytanie o cenę. Nie jest konieczne, by oferty były wiążące na gruncie przepisów Kodeksu cywilnego. Dokumenty potwierdzające zebranie co najmniej trzech równoważnych ofert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Grantobiorca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 zobowiązany jest przechowywać wraz z dokumentacją finansową projektu. </w:t>
      </w:r>
    </w:p>
    <w:p w:rsidR="00605645" w:rsidRPr="00A50578" w:rsidRDefault="00605645" w:rsidP="00605645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Zbieranie równoważnych ofert nie jest konieczne w przypadku: wydatków, których limity określone są w obowiązujących przepisach prawa, np. diety, ryczałty na przejazdy, noclegi itp., oraz zamówień dotyczących zadań wykonywanych przez osoby będące stałymi współpracownikami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Grantobiorcy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.</w:t>
      </w:r>
    </w:p>
    <w:p w:rsidR="00605645" w:rsidRPr="00A50578" w:rsidRDefault="00605645" w:rsidP="00605645">
      <w:pPr>
        <w:keepNext/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b/>
          <w:bCs/>
          <w:color w:val="000000"/>
          <w:spacing w:val="-1"/>
          <w:sz w:val="21"/>
          <w:szCs w:val="21"/>
        </w:rPr>
        <w:t>5. Zasady księgowania i dokumentowania poniesionych wydatków</w:t>
      </w:r>
    </w:p>
    <w:p w:rsidR="00605645" w:rsidRPr="00A50578" w:rsidRDefault="00605645" w:rsidP="00605645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Grantobiorca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 zobowiązany jest do prowadzenia wyodrębnionej ewidencji księgowej na potrzeby projektu, umożliwiającej jednoznaczną identyfikację wszystkich kosztów i przychodów dotyczących projektu. </w:t>
      </w:r>
    </w:p>
    <w:p w:rsidR="00605645" w:rsidRPr="00A50578" w:rsidRDefault="00605645" w:rsidP="00605645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Dowodem poniesienia wydatków jest opłacona faktura lub inny dokument księgowy o równoważnej wartości dowodowej wraz z dowodem zapłaty. </w:t>
      </w:r>
      <w:r w:rsidRPr="00A50578">
        <w:rPr>
          <w:rFonts w:asciiTheme="majorHAnsi" w:hAnsiTheme="majorHAnsi"/>
          <w:sz w:val="21"/>
          <w:szCs w:val="21"/>
        </w:rPr>
        <w:t>Przyjmuje się za dowód zapłaty gotówkowej informację na dokumencie: „Zapłacono gotówką” lub „Forma zapłaty: gotówka”.</w:t>
      </w: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  W miarę możliwości należy unikać płatności gotówkowych.</w:t>
      </w:r>
    </w:p>
    <w:p w:rsidR="00605645" w:rsidRPr="00A50578" w:rsidRDefault="00605645" w:rsidP="00605645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Wszystkie dokumenty księgowe  muszą być prawidłowo opisane, tak aby był zrozumiały ich związek z projektem. </w:t>
      </w:r>
    </w:p>
    <w:p w:rsidR="00605645" w:rsidRPr="00A50578" w:rsidRDefault="00605645" w:rsidP="00605645">
      <w:pPr>
        <w:keepNext/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Opis dokumentu księgowego powinien zawierać:</w:t>
      </w:r>
    </w:p>
    <w:p w:rsidR="00605645" w:rsidRPr="00A50578" w:rsidRDefault="00605645" w:rsidP="006056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numer wniosku;</w:t>
      </w:r>
    </w:p>
    <w:p w:rsidR="00605645" w:rsidRPr="00A50578" w:rsidRDefault="00605645" w:rsidP="006056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informację, że projekt jest współfinansowany z Funduszy EOG;</w:t>
      </w:r>
    </w:p>
    <w:p w:rsidR="00605645" w:rsidRPr="00A50578" w:rsidRDefault="00605645" w:rsidP="006056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kwotę wydatków </w:t>
      </w:r>
      <w:proofErr w:type="spellStart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kwalifikowalnych</w:t>
      </w:r>
      <w:proofErr w:type="spellEnd"/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;</w:t>
      </w:r>
    </w:p>
    <w:p w:rsidR="00605645" w:rsidRPr="00A50578" w:rsidRDefault="00605645" w:rsidP="006056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opis działania, którego dotyczy wydatek;</w:t>
      </w:r>
    </w:p>
    <w:p w:rsidR="00605645" w:rsidRPr="00A50578" w:rsidRDefault="00605645" w:rsidP="006056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 xml:space="preserve">akceptację wydatku pod względem merytorycznym oraz formalno-rachunkowym podpisaną przez osoby uprawnione. </w:t>
      </w:r>
    </w:p>
    <w:p w:rsidR="00370F46" w:rsidRPr="00A50578" w:rsidRDefault="00605645" w:rsidP="00A50578">
      <w:pPr>
        <w:autoSpaceDE w:val="0"/>
        <w:autoSpaceDN w:val="0"/>
        <w:adjustRightInd w:val="0"/>
        <w:spacing w:before="100"/>
        <w:textAlignment w:val="center"/>
        <w:rPr>
          <w:rFonts w:asciiTheme="majorHAnsi" w:hAnsiTheme="majorHAnsi" w:cs="CorpidPl"/>
          <w:color w:val="000000"/>
          <w:spacing w:val="-1"/>
          <w:sz w:val="21"/>
          <w:szCs w:val="21"/>
        </w:rPr>
      </w:pPr>
      <w:r w:rsidRPr="00A50578">
        <w:rPr>
          <w:rFonts w:asciiTheme="majorHAnsi" w:hAnsiTheme="majorHAnsi" w:cs="CorpidPl"/>
          <w:color w:val="000000"/>
          <w:spacing w:val="-1"/>
          <w:sz w:val="21"/>
          <w:szCs w:val="21"/>
        </w:rPr>
        <w:t>Dowody księgowe należy przechowywać w ustalonym porządku dostosowanym do sposobu prowadzenia ksiąg rachunkowych, w sposób zapewniający łatwe ich odszukanie. Księgi rachunkowe i dowody księgowe należy przechowywać w należyty sposób i chronić przed niedozwolonymi zmianami, rozpowszechnianiem lub zniszczeniem.</w:t>
      </w:r>
    </w:p>
    <w:sectPr w:rsidR="00370F46" w:rsidRPr="00A50578" w:rsidSect="009718A7">
      <w:footerReference w:type="default" r:id="rId9"/>
      <w:pgSz w:w="11906" w:h="16838"/>
      <w:pgMar w:top="454" w:right="567" w:bottom="454" w:left="737" w:header="5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78" w:rsidRDefault="00A50578" w:rsidP="00601C23">
      <w:pPr>
        <w:spacing w:after="0" w:line="240" w:lineRule="auto"/>
      </w:pPr>
      <w:r>
        <w:separator/>
      </w:r>
    </w:p>
  </w:endnote>
  <w:endnote w:type="continuationSeparator" w:id="0">
    <w:p w:rsidR="00A50578" w:rsidRDefault="00A50578" w:rsidP="006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idP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id w:val="26672263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</w:rPr>
          <w:id w:val="26672264"/>
          <w:docPartObj>
            <w:docPartGallery w:val="Page Numbers (Top of Page)"/>
            <w:docPartUnique/>
          </w:docPartObj>
        </w:sdtPr>
        <w:sdtContent>
          <w:p w:rsidR="00A50578" w:rsidRPr="00DD3DBA" w:rsidRDefault="00A50578" w:rsidP="00DD3DBA">
            <w:pPr>
              <w:pStyle w:val="Stopka"/>
              <w:jc w:val="right"/>
              <w:rPr>
                <w:rFonts w:asciiTheme="majorHAnsi" w:hAnsiTheme="majorHAnsi"/>
              </w:rPr>
            </w:pPr>
            <w:proofErr w:type="spellStart"/>
            <w:r w:rsidRPr="00DD3DBA">
              <w:rPr>
                <w:rFonts w:asciiTheme="majorHAnsi" w:hAnsiTheme="majorHAnsi"/>
              </w:rPr>
              <w:t>Strona</w:t>
            </w:r>
            <w:proofErr w:type="spellEnd"/>
            <w:r w:rsidRPr="00DD3DBA">
              <w:rPr>
                <w:rFonts w:asciiTheme="majorHAnsi" w:hAnsiTheme="majorHAnsi"/>
              </w:rPr>
              <w:t xml:space="preserve"> </w:t>
            </w:r>
            <w:r w:rsidR="005C6CBA" w:rsidRPr="00DD3DBA">
              <w:rPr>
                <w:rFonts w:asciiTheme="majorHAnsi" w:hAnsiTheme="majorHAnsi"/>
              </w:rPr>
              <w:fldChar w:fldCharType="begin"/>
            </w:r>
            <w:r w:rsidRPr="00DD3DBA">
              <w:rPr>
                <w:rFonts w:asciiTheme="majorHAnsi" w:hAnsiTheme="majorHAnsi"/>
              </w:rPr>
              <w:instrText>PAGE</w:instrText>
            </w:r>
            <w:r w:rsidR="005C6CBA" w:rsidRPr="00DD3DBA">
              <w:rPr>
                <w:rFonts w:asciiTheme="majorHAnsi" w:hAnsiTheme="majorHAnsi"/>
              </w:rPr>
              <w:fldChar w:fldCharType="separate"/>
            </w:r>
            <w:r w:rsidR="00E5474A">
              <w:rPr>
                <w:rFonts w:asciiTheme="majorHAnsi" w:hAnsiTheme="majorHAnsi"/>
                <w:noProof/>
              </w:rPr>
              <w:t>1</w:t>
            </w:r>
            <w:r w:rsidR="005C6CBA" w:rsidRPr="00DD3DBA">
              <w:rPr>
                <w:rFonts w:asciiTheme="majorHAnsi" w:hAnsiTheme="majorHAnsi"/>
              </w:rPr>
              <w:fldChar w:fldCharType="end"/>
            </w:r>
            <w:r w:rsidRPr="00DD3DBA">
              <w:rPr>
                <w:rFonts w:asciiTheme="majorHAnsi" w:hAnsiTheme="majorHAnsi"/>
              </w:rPr>
              <w:t xml:space="preserve"> z </w:t>
            </w:r>
            <w:r w:rsidR="005C6CBA" w:rsidRPr="00DD3DBA">
              <w:rPr>
                <w:rFonts w:asciiTheme="majorHAnsi" w:hAnsiTheme="majorHAnsi"/>
              </w:rPr>
              <w:fldChar w:fldCharType="begin"/>
            </w:r>
            <w:r w:rsidRPr="00DD3DBA">
              <w:rPr>
                <w:rFonts w:asciiTheme="majorHAnsi" w:hAnsiTheme="majorHAnsi"/>
              </w:rPr>
              <w:instrText>NUMPAGES</w:instrText>
            </w:r>
            <w:r w:rsidR="005C6CBA" w:rsidRPr="00DD3DBA">
              <w:rPr>
                <w:rFonts w:asciiTheme="majorHAnsi" w:hAnsiTheme="majorHAnsi"/>
              </w:rPr>
              <w:fldChar w:fldCharType="separate"/>
            </w:r>
            <w:r w:rsidR="00E5474A">
              <w:rPr>
                <w:rFonts w:asciiTheme="majorHAnsi" w:hAnsiTheme="majorHAnsi"/>
                <w:noProof/>
              </w:rPr>
              <w:t>2</w:t>
            </w:r>
            <w:r w:rsidR="005C6CBA" w:rsidRPr="00DD3DBA">
              <w:rPr>
                <w:rFonts w:asciiTheme="majorHAnsi" w:hAnsiTheme="majorHAnsi"/>
              </w:rPr>
              <w:fldChar w:fldCharType="end"/>
            </w:r>
          </w:p>
        </w:sdtContent>
      </w:sdt>
    </w:sdtContent>
  </w:sdt>
  <w:p w:rsidR="00A50578" w:rsidRPr="00C11AD0" w:rsidRDefault="00A50578" w:rsidP="00A3263F">
    <w:pPr>
      <w:pStyle w:val="Stopka"/>
      <w:rPr>
        <w:color w:val="5595FF"/>
        <w:sz w:val="16"/>
        <w:szCs w:val="16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78" w:rsidRDefault="00A50578" w:rsidP="00601C23">
      <w:pPr>
        <w:spacing w:after="0" w:line="240" w:lineRule="auto"/>
      </w:pPr>
      <w:r>
        <w:separator/>
      </w:r>
    </w:p>
  </w:footnote>
  <w:footnote w:type="continuationSeparator" w:id="0">
    <w:p w:rsidR="00A50578" w:rsidRDefault="00A50578" w:rsidP="00601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7D6E"/>
    <w:multiLevelType w:val="hybridMultilevel"/>
    <w:tmpl w:val="80A8115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37917F3A"/>
    <w:multiLevelType w:val="hybridMultilevel"/>
    <w:tmpl w:val="6AA48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34AD0"/>
    <w:multiLevelType w:val="hybridMultilevel"/>
    <w:tmpl w:val="8A66CFE8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66AE742E"/>
    <w:multiLevelType w:val="hybridMultilevel"/>
    <w:tmpl w:val="A4D0739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601C23"/>
    <w:rsid w:val="00002E9F"/>
    <w:rsid w:val="000039C3"/>
    <w:rsid w:val="0000719A"/>
    <w:rsid w:val="00007A74"/>
    <w:rsid w:val="0001121D"/>
    <w:rsid w:val="000118DC"/>
    <w:rsid w:val="0003196E"/>
    <w:rsid w:val="00041B86"/>
    <w:rsid w:val="00041D67"/>
    <w:rsid w:val="00057065"/>
    <w:rsid w:val="000604B7"/>
    <w:rsid w:val="00067D6B"/>
    <w:rsid w:val="00080CFA"/>
    <w:rsid w:val="0008169F"/>
    <w:rsid w:val="00083F59"/>
    <w:rsid w:val="00084C09"/>
    <w:rsid w:val="00084E64"/>
    <w:rsid w:val="00090ED0"/>
    <w:rsid w:val="0009227F"/>
    <w:rsid w:val="000A0CCF"/>
    <w:rsid w:val="000A3C1A"/>
    <w:rsid w:val="000A4BA2"/>
    <w:rsid w:val="000A503D"/>
    <w:rsid w:val="000B4AA5"/>
    <w:rsid w:val="000B7D07"/>
    <w:rsid w:val="000C0D35"/>
    <w:rsid w:val="000C0F8C"/>
    <w:rsid w:val="000C4A65"/>
    <w:rsid w:val="000D067D"/>
    <w:rsid w:val="000D5E28"/>
    <w:rsid w:val="000D5EEB"/>
    <w:rsid w:val="000D6E8C"/>
    <w:rsid w:val="000D7D1E"/>
    <w:rsid w:val="000E0C38"/>
    <w:rsid w:val="000E0FF1"/>
    <w:rsid w:val="000E4333"/>
    <w:rsid w:val="000E500A"/>
    <w:rsid w:val="000E53E7"/>
    <w:rsid w:val="000F085F"/>
    <w:rsid w:val="000F4914"/>
    <w:rsid w:val="001004B8"/>
    <w:rsid w:val="0010334B"/>
    <w:rsid w:val="0011197E"/>
    <w:rsid w:val="00117632"/>
    <w:rsid w:val="001216B9"/>
    <w:rsid w:val="00123D0D"/>
    <w:rsid w:val="00124628"/>
    <w:rsid w:val="00137E55"/>
    <w:rsid w:val="001436EF"/>
    <w:rsid w:val="0014398B"/>
    <w:rsid w:val="00152FAC"/>
    <w:rsid w:val="00153574"/>
    <w:rsid w:val="00155CAB"/>
    <w:rsid w:val="00160113"/>
    <w:rsid w:val="00162522"/>
    <w:rsid w:val="001631FE"/>
    <w:rsid w:val="001657E5"/>
    <w:rsid w:val="0016709A"/>
    <w:rsid w:val="001724F5"/>
    <w:rsid w:val="0017753E"/>
    <w:rsid w:val="0018372A"/>
    <w:rsid w:val="001851C0"/>
    <w:rsid w:val="00191818"/>
    <w:rsid w:val="001961C5"/>
    <w:rsid w:val="001A2171"/>
    <w:rsid w:val="001B2041"/>
    <w:rsid w:val="001D6012"/>
    <w:rsid w:val="001D7074"/>
    <w:rsid w:val="001E04A6"/>
    <w:rsid w:val="001E190F"/>
    <w:rsid w:val="001E5728"/>
    <w:rsid w:val="001F1629"/>
    <w:rsid w:val="0021042C"/>
    <w:rsid w:val="0022077E"/>
    <w:rsid w:val="00234C53"/>
    <w:rsid w:val="00240860"/>
    <w:rsid w:val="0024538F"/>
    <w:rsid w:val="002473A5"/>
    <w:rsid w:val="002508DD"/>
    <w:rsid w:val="0025663D"/>
    <w:rsid w:val="00261B06"/>
    <w:rsid w:val="00270728"/>
    <w:rsid w:val="00270B52"/>
    <w:rsid w:val="00273F99"/>
    <w:rsid w:val="00274CB9"/>
    <w:rsid w:val="00287C98"/>
    <w:rsid w:val="0029368C"/>
    <w:rsid w:val="00294885"/>
    <w:rsid w:val="00294964"/>
    <w:rsid w:val="002A3EC0"/>
    <w:rsid w:val="002A4106"/>
    <w:rsid w:val="002C09E7"/>
    <w:rsid w:val="002C6261"/>
    <w:rsid w:val="002C64A9"/>
    <w:rsid w:val="002C6BA3"/>
    <w:rsid w:val="002D0A81"/>
    <w:rsid w:val="002D0FF1"/>
    <w:rsid w:val="002D1098"/>
    <w:rsid w:val="002D5EB9"/>
    <w:rsid w:val="002E1296"/>
    <w:rsid w:val="002E4D00"/>
    <w:rsid w:val="002E62DB"/>
    <w:rsid w:val="002E68FF"/>
    <w:rsid w:val="002F607F"/>
    <w:rsid w:val="0032052F"/>
    <w:rsid w:val="0033785B"/>
    <w:rsid w:val="00337B30"/>
    <w:rsid w:val="00344937"/>
    <w:rsid w:val="0035087D"/>
    <w:rsid w:val="00353D1D"/>
    <w:rsid w:val="00353F01"/>
    <w:rsid w:val="0036379D"/>
    <w:rsid w:val="0036517F"/>
    <w:rsid w:val="00367848"/>
    <w:rsid w:val="00370F46"/>
    <w:rsid w:val="003711B4"/>
    <w:rsid w:val="0037569E"/>
    <w:rsid w:val="00384EDB"/>
    <w:rsid w:val="00385529"/>
    <w:rsid w:val="0038566A"/>
    <w:rsid w:val="00390751"/>
    <w:rsid w:val="00396245"/>
    <w:rsid w:val="0039628F"/>
    <w:rsid w:val="003A29C5"/>
    <w:rsid w:val="003A2BC1"/>
    <w:rsid w:val="003A60B1"/>
    <w:rsid w:val="003B2292"/>
    <w:rsid w:val="003C0F8E"/>
    <w:rsid w:val="003D2322"/>
    <w:rsid w:val="003D57CC"/>
    <w:rsid w:val="003D7048"/>
    <w:rsid w:val="003E06A6"/>
    <w:rsid w:val="00401944"/>
    <w:rsid w:val="004067B4"/>
    <w:rsid w:val="00410FD3"/>
    <w:rsid w:val="00414367"/>
    <w:rsid w:val="0041612F"/>
    <w:rsid w:val="00437719"/>
    <w:rsid w:val="00443147"/>
    <w:rsid w:val="00453558"/>
    <w:rsid w:val="00475C2E"/>
    <w:rsid w:val="00480153"/>
    <w:rsid w:val="00480AAB"/>
    <w:rsid w:val="004837D3"/>
    <w:rsid w:val="00484E64"/>
    <w:rsid w:val="00485670"/>
    <w:rsid w:val="004A02BA"/>
    <w:rsid w:val="004A7042"/>
    <w:rsid w:val="004B319C"/>
    <w:rsid w:val="004B321B"/>
    <w:rsid w:val="004B37ED"/>
    <w:rsid w:val="004B4D40"/>
    <w:rsid w:val="004B50CC"/>
    <w:rsid w:val="004C3EA1"/>
    <w:rsid w:val="004C6ECF"/>
    <w:rsid w:val="004D5265"/>
    <w:rsid w:val="004D7497"/>
    <w:rsid w:val="004E49B6"/>
    <w:rsid w:val="005253DC"/>
    <w:rsid w:val="0052561A"/>
    <w:rsid w:val="0053019E"/>
    <w:rsid w:val="0053280E"/>
    <w:rsid w:val="005446E3"/>
    <w:rsid w:val="00547AC7"/>
    <w:rsid w:val="005507DE"/>
    <w:rsid w:val="00550CD0"/>
    <w:rsid w:val="00556D00"/>
    <w:rsid w:val="005647A2"/>
    <w:rsid w:val="005654A0"/>
    <w:rsid w:val="005721C5"/>
    <w:rsid w:val="00573769"/>
    <w:rsid w:val="00585456"/>
    <w:rsid w:val="00586FE8"/>
    <w:rsid w:val="00587B8D"/>
    <w:rsid w:val="00587E5D"/>
    <w:rsid w:val="0059315B"/>
    <w:rsid w:val="005964AE"/>
    <w:rsid w:val="005A2508"/>
    <w:rsid w:val="005B09D5"/>
    <w:rsid w:val="005B190B"/>
    <w:rsid w:val="005B6973"/>
    <w:rsid w:val="005C310C"/>
    <w:rsid w:val="005C6CBA"/>
    <w:rsid w:val="005D53BF"/>
    <w:rsid w:val="005E27B7"/>
    <w:rsid w:val="005E384E"/>
    <w:rsid w:val="005F44F3"/>
    <w:rsid w:val="005F4E7B"/>
    <w:rsid w:val="005F5999"/>
    <w:rsid w:val="005F790B"/>
    <w:rsid w:val="00601C23"/>
    <w:rsid w:val="00604533"/>
    <w:rsid w:val="00605645"/>
    <w:rsid w:val="00612906"/>
    <w:rsid w:val="00612D0D"/>
    <w:rsid w:val="0063032F"/>
    <w:rsid w:val="00631D71"/>
    <w:rsid w:val="00636C7E"/>
    <w:rsid w:val="00637140"/>
    <w:rsid w:val="00637FB3"/>
    <w:rsid w:val="00640557"/>
    <w:rsid w:val="0064296C"/>
    <w:rsid w:val="00643415"/>
    <w:rsid w:val="006437DE"/>
    <w:rsid w:val="00654B28"/>
    <w:rsid w:val="00656D4F"/>
    <w:rsid w:val="0066022E"/>
    <w:rsid w:val="0066239F"/>
    <w:rsid w:val="0067228C"/>
    <w:rsid w:val="00673882"/>
    <w:rsid w:val="00674536"/>
    <w:rsid w:val="006817CD"/>
    <w:rsid w:val="006B49C5"/>
    <w:rsid w:val="006B4D5C"/>
    <w:rsid w:val="006B7420"/>
    <w:rsid w:val="006C55A3"/>
    <w:rsid w:val="006D7C23"/>
    <w:rsid w:val="00711254"/>
    <w:rsid w:val="00711F42"/>
    <w:rsid w:val="00714679"/>
    <w:rsid w:val="0071646F"/>
    <w:rsid w:val="007164F7"/>
    <w:rsid w:val="00731EA3"/>
    <w:rsid w:val="0073633B"/>
    <w:rsid w:val="00736F38"/>
    <w:rsid w:val="007426F8"/>
    <w:rsid w:val="00762B2C"/>
    <w:rsid w:val="00763A80"/>
    <w:rsid w:val="00770634"/>
    <w:rsid w:val="00777A4D"/>
    <w:rsid w:val="00780587"/>
    <w:rsid w:val="007954A4"/>
    <w:rsid w:val="007A2A1C"/>
    <w:rsid w:val="007B0E84"/>
    <w:rsid w:val="007B1FBC"/>
    <w:rsid w:val="007C5459"/>
    <w:rsid w:val="007D5784"/>
    <w:rsid w:val="007D7316"/>
    <w:rsid w:val="007E0A5E"/>
    <w:rsid w:val="007E2301"/>
    <w:rsid w:val="007E778C"/>
    <w:rsid w:val="007E7A46"/>
    <w:rsid w:val="007F045F"/>
    <w:rsid w:val="007F0D9F"/>
    <w:rsid w:val="007F238E"/>
    <w:rsid w:val="007F3743"/>
    <w:rsid w:val="008017A1"/>
    <w:rsid w:val="00804600"/>
    <w:rsid w:val="0080480D"/>
    <w:rsid w:val="0080587B"/>
    <w:rsid w:val="0081053C"/>
    <w:rsid w:val="008145A8"/>
    <w:rsid w:val="00815C45"/>
    <w:rsid w:val="008160BA"/>
    <w:rsid w:val="008166C2"/>
    <w:rsid w:val="0081696E"/>
    <w:rsid w:val="00822709"/>
    <w:rsid w:val="0082401B"/>
    <w:rsid w:val="00826E88"/>
    <w:rsid w:val="00831792"/>
    <w:rsid w:val="00843C3A"/>
    <w:rsid w:val="00854888"/>
    <w:rsid w:val="00884B25"/>
    <w:rsid w:val="00886CCC"/>
    <w:rsid w:val="00890D2C"/>
    <w:rsid w:val="008956DB"/>
    <w:rsid w:val="00895A83"/>
    <w:rsid w:val="008A018C"/>
    <w:rsid w:val="008A462A"/>
    <w:rsid w:val="008A77F4"/>
    <w:rsid w:val="008B20BB"/>
    <w:rsid w:val="008B2AC0"/>
    <w:rsid w:val="008B3D0A"/>
    <w:rsid w:val="008B5427"/>
    <w:rsid w:val="008D0580"/>
    <w:rsid w:val="008D1314"/>
    <w:rsid w:val="008D257C"/>
    <w:rsid w:val="008E7D5A"/>
    <w:rsid w:val="00902ED7"/>
    <w:rsid w:val="00911D1F"/>
    <w:rsid w:val="00927318"/>
    <w:rsid w:val="0095074F"/>
    <w:rsid w:val="009718A7"/>
    <w:rsid w:val="009801F0"/>
    <w:rsid w:val="00983EFB"/>
    <w:rsid w:val="00985F3B"/>
    <w:rsid w:val="00995835"/>
    <w:rsid w:val="009A563B"/>
    <w:rsid w:val="009A5B27"/>
    <w:rsid w:val="009C2D2B"/>
    <w:rsid w:val="009D1560"/>
    <w:rsid w:val="009D4BBF"/>
    <w:rsid w:val="009D5965"/>
    <w:rsid w:val="009F5C5A"/>
    <w:rsid w:val="00A009A6"/>
    <w:rsid w:val="00A32424"/>
    <w:rsid w:val="00A3263F"/>
    <w:rsid w:val="00A37469"/>
    <w:rsid w:val="00A40AF5"/>
    <w:rsid w:val="00A46DCF"/>
    <w:rsid w:val="00A50578"/>
    <w:rsid w:val="00A63122"/>
    <w:rsid w:val="00A63820"/>
    <w:rsid w:val="00A64909"/>
    <w:rsid w:val="00A70744"/>
    <w:rsid w:val="00A7198F"/>
    <w:rsid w:val="00A75388"/>
    <w:rsid w:val="00A756F4"/>
    <w:rsid w:val="00A82688"/>
    <w:rsid w:val="00A829F2"/>
    <w:rsid w:val="00A8306B"/>
    <w:rsid w:val="00AA24C6"/>
    <w:rsid w:val="00AB1128"/>
    <w:rsid w:val="00AB280D"/>
    <w:rsid w:val="00AB3778"/>
    <w:rsid w:val="00AC52E6"/>
    <w:rsid w:val="00AD5528"/>
    <w:rsid w:val="00AE745E"/>
    <w:rsid w:val="00AE7EAE"/>
    <w:rsid w:val="00AF6A13"/>
    <w:rsid w:val="00B01F39"/>
    <w:rsid w:val="00B024FB"/>
    <w:rsid w:val="00B2264D"/>
    <w:rsid w:val="00B22A18"/>
    <w:rsid w:val="00B337CD"/>
    <w:rsid w:val="00B40389"/>
    <w:rsid w:val="00B41AA8"/>
    <w:rsid w:val="00B42139"/>
    <w:rsid w:val="00B42CE5"/>
    <w:rsid w:val="00B63EA4"/>
    <w:rsid w:val="00B715B5"/>
    <w:rsid w:val="00B734E2"/>
    <w:rsid w:val="00B96256"/>
    <w:rsid w:val="00BB0A9B"/>
    <w:rsid w:val="00BB126F"/>
    <w:rsid w:val="00BB7184"/>
    <w:rsid w:val="00BC7D2A"/>
    <w:rsid w:val="00BD0222"/>
    <w:rsid w:val="00BE114B"/>
    <w:rsid w:val="00BF6CA4"/>
    <w:rsid w:val="00C0354D"/>
    <w:rsid w:val="00C04573"/>
    <w:rsid w:val="00C06EB0"/>
    <w:rsid w:val="00C11AD0"/>
    <w:rsid w:val="00C12D5D"/>
    <w:rsid w:val="00C130EC"/>
    <w:rsid w:val="00C1747D"/>
    <w:rsid w:val="00C2254A"/>
    <w:rsid w:val="00C40B87"/>
    <w:rsid w:val="00C56095"/>
    <w:rsid w:val="00C61847"/>
    <w:rsid w:val="00C64B0A"/>
    <w:rsid w:val="00C7278C"/>
    <w:rsid w:val="00C8151B"/>
    <w:rsid w:val="00C837BF"/>
    <w:rsid w:val="00C9279A"/>
    <w:rsid w:val="00C93FF0"/>
    <w:rsid w:val="00CA0C74"/>
    <w:rsid w:val="00CA44C2"/>
    <w:rsid w:val="00CB6802"/>
    <w:rsid w:val="00CE7712"/>
    <w:rsid w:val="00CF1158"/>
    <w:rsid w:val="00D01870"/>
    <w:rsid w:val="00D11375"/>
    <w:rsid w:val="00D17B52"/>
    <w:rsid w:val="00D219C3"/>
    <w:rsid w:val="00D306EB"/>
    <w:rsid w:val="00D40291"/>
    <w:rsid w:val="00D46257"/>
    <w:rsid w:val="00D469C4"/>
    <w:rsid w:val="00D472A5"/>
    <w:rsid w:val="00D51A6A"/>
    <w:rsid w:val="00D53118"/>
    <w:rsid w:val="00D5368E"/>
    <w:rsid w:val="00D631FD"/>
    <w:rsid w:val="00D63467"/>
    <w:rsid w:val="00D7394E"/>
    <w:rsid w:val="00D74DDB"/>
    <w:rsid w:val="00D85F08"/>
    <w:rsid w:val="00D877C8"/>
    <w:rsid w:val="00D901A8"/>
    <w:rsid w:val="00DA00E0"/>
    <w:rsid w:val="00DA174B"/>
    <w:rsid w:val="00DA6053"/>
    <w:rsid w:val="00DC3150"/>
    <w:rsid w:val="00DC3E5F"/>
    <w:rsid w:val="00DC714B"/>
    <w:rsid w:val="00DD0056"/>
    <w:rsid w:val="00DD3DBA"/>
    <w:rsid w:val="00DE16C5"/>
    <w:rsid w:val="00DE49B5"/>
    <w:rsid w:val="00DE6547"/>
    <w:rsid w:val="00DE7479"/>
    <w:rsid w:val="00DE79E8"/>
    <w:rsid w:val="00DE7AF6"/>
    <w:rsid w:val="00DF1669"/>
    <w:rsid w:val="00DF1906"/>
    <w:rsid w:val="00DF4612"/>
    <w:rsid w:val="00E008F6"/>
    <w:rsid w:val="00E108F3"/>
    <w:rsid w:val="00E30912"/>
    <w:rsid w:val="00E30DBC"/>
    <w:rsid w:val="00E37DBA"/>
    <w:rsid w:val="00E40D5A"/>
    <w:rsid w:val="00E5474A"/>
    <w:rsid w:val="00E55E94"/>
    <w:rsid w:val="00E63030"/>
    <w:rsid w:val="00E63494"/>
    <w:rsid w:val="00E647F6"/>
    <w:rsid w:val="00E67FB5"/>
    <w:rsid w:val="00E71C44"/>
    <w:rsid w:val="00E76DA5"/>
    <w:rsid w:val="00E776BA"/>
    <w:rsid w:val="00E875A6"/>
    <w:rsid w:val="00E936BD"/>
    <w:rsid w:val="00E976FF"/>
    <w:rsid w:val="00E97ECF"/>
    <w:rsid w:val="00EA06E1"/>
    <w:rsid w:val="00EA0BC2"/>
    <w:rsid w:val="00EA4024"/>
    <w:rsid w:val="00EA5FA0"/>
    <w:rsid w:val="00EB49D1"/>
    <w:rsid w:val="00EC3ADC"/>
    <w:rsid w:val="00EC573E"/>
    <w:rsid w:val="00EC7A6E"/>
    <w:rsid w:val="00ED5993"/>
    <w:rsid w:val="00ED68EC"/>
    <w:rsid w:val="00EE4049"/>
    <w:rsid w:val="00EE6619"/>
    <w:rsid w:val="00EF18C5"/>
    <w:rsid w:val="00EF2B07"/>
    <w:rsid w:val="00EF4FDB"/>
    <w:rsid w:val="00EF5D6A"/>
    <w:rsid w:val="00EF61F2"/>
    <w:rsid w:val="00EF6ECF"/>
    <w:rsid w:val="00F219D5"/>
    <w:rsid w:val="00F327B4"/>
    <w:rsid w:val="00F369BE"/>
    <w:rsid w:val="00F37018"/>
    <w:rsid w:val="00F42F02"/>
    <w:rsid w:val="00F444E2"/>
    <w:rsid w:val="00F501B1"/>
    <w:rsid w:val="00F54650"/>
    <w:rsid w:val="00F6727E"/>
    <w:rsid w:val="00F7257A"/>
    <w:rsid w:val="00F8019C"/>
    <w:rsid w:val="00F96BB2"/>
    <w:rsid w:val="00FA33FE"/>
    <w:rsid w:val="00FA714E"/>
    <w:rsid w:val="00FB0C40"/>
    <w:rsid w:val="00FD682A"/>
    <w:rsid w:val="00FE47D9"/>
    <w:rsid w:val="00FF0B65"/>
    <w:rsid w:val="00FF1B08"/>
    <w:rsid w:val="00FF63D1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6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01C2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01C2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C23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C23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unhideWhenUsed/>
    <w:rsid w:val="00601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63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8A462A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2A"/>
    <w:rPr>
      <w:rFonts w:ascii="Cambria" w:eastAsia="Calibri" w:hAnsi="Cambria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93FF0"/>
    <w:pPr>
      <w:widowControl w:val="0"/>
      <w:tabs>
        <w:tab w:val="left" w:pos="42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3F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57E5"/>
    <w:pPr>
      <w:ind w:left="720"/>
      <w:contextualSpacing/>
    </w:pPr>
  </w:style>
  <w:style w:type="character" w:customStyle="1" w:styleId="przypis">
    <w:name w:val="przypis"/>
    <w:basedOn w:val="Odwoanieprzypisudolnego"/>
    <w:rsid w:val="00C9279A"/>
    <w:rPr>
      <w:rFonts w:ascii="CorpidPl" w:hAnsi="CorpidPl" w:cs="CorpidPl"/>
      <w:color w:val="000000"/>
      <w:w w:val="100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7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8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82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F72F7-364C-495F-ADAF-EFB4A7D1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943</Words>
  <Characters>5663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Dumańska</dc:creator>
  <cp:lastModifiedBy>Katarzyna Dumańska</cp:lastModifiedBy>
  <cp:revision>2</cp:revision>
  <cp:lastPrinted>2013-12-11T15:49:00Z</cp:lastPrinted>
  <dcterms:created xsi:type="dcterms:W3CDTF">2014-04-11T09:56:00Z</dcterms:created>
  <dcterms:modified xsi:type="dcterms:W3CDTF">2014-04-11T09:56:00Z</dcterms:modified>
</cp:coreProperties>
</file>