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82" w:rsidRPr="00FB084E" w:rsidRDefault="00983F82" w:rsidP="00A065B4">
      <w:pPr>
        <w:pStyle w:val="NormalnyWeb"/>
        <w:spacing w:before="0" w:beforeAutospacing="0" w:after="0" w:afterAutospacing="0"/>
        <w:jc w:val="both"/>
        <w:rPr>
          <w:rStyle w:val="Uwydatnienie"/>
          <w:rFonts w:asciiTheme="minorHAnsi" w:hAnsiTheme="minorHAnsi"/>
          <w:b/>
          <w:i w:val="0"/>
          <w:color w:val="404040" w:themeColor="text1" w:themeTint="BF"/>
          <w:sz w:val="22"/>
          <w:szCs w:val="22"/>
        </w:rPr>
      </w:pPr>
    </w:p>
    <w:p w:rsidR="00A065B4" w:rsidRPr="00FB084E" w:rsidRDefault="00A065B4" w:rsidP="00A065B4">
      <w:pPr>
        <w:pStyle w:val="NormalnyWeb"/>
        <w:jc w:val="both"/>
        <w:rPr>
          <w:rStyle w:val="Uwydatnienie"/>
          <w:rFonts w:asciiTheme="minorHAnsi" w:hAnsiTheme="minorHAnsi"/>
          <w:b/>
          <w:i w:val="0"/>
          <w:color w:val="404040" w:themeColor="text1" w:themeTint="BF"/>
          <w:sz w:val="28"/>
          <w:szCs w:val="22"/>
        </w:rPr>
      </w:pPr>
      <w:r w:rsidRPr="00FB084E">
        <w:rPr>
          <w:rStyle w:val="Uwydatnienie"/>
          <w:rFonts w:asciiTheme="minorHAnsi" w:hAnsiTheme="minorHAnsi"/>
          <w:b/>
          <w:i w:val="0"/>
          <w:color w:val="404040" w:themeColor="text1" w:themeTint="BF"/>
          <w:sz w:val="28"/>
          <w:szCs w:val="22"/>
        </w:rPr>
        <w:t>Na chorobę ten III sektor!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Choć w Polsce medycynę mamy na niezłym poziomie, opiekę zdrowotną – na raczej fatalnym. Kuleje system. W jego naprawę coraz częściej angażują się organizacje społeczne. Jakie działania podejmują? 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Każdego roku na ochronę zdrowia Polacy wydają ponad 100 miliardów złotych. I choć to my, obywatele, finansujemy system, to w zasadzie nie mamy wpływu na jego kształt, a także choćby na to w jakich warunkach się leczymy. Zresztą, skąd mamy na przykład wiedzieć, który szpital jest dobry a który gorszy?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Przyjrzyjmy się stolicy. Jej mieszkańcy mogą wybierać spośród wielu szpitali. Na przykład ten, uniwersytecki, pochwalić się może bardzo niską umieralnością (0,75% pacjentów w ciągu 30 dni od wypisania) oraz sprawną obsługą – ponad 90,6% osób zgłaszających się do izby przyjęć załatwianych jest w czasie krótszym niż 4 godziny. Być może właśnie dlatego aż 95% pacjentów poleciłoby placówkę swoim najbliższym. Niestety szpital jest w Londynie. Najciekawsze w tym wszystkim jest jednak nie to, że w stolicy Zjednoczonego Królestwa jest dobra klinika, ale to, że aż tak szczegółowe dane udostępniane są na stronie internetowej NHS – brytyjskiej instytucji będącej odpowiednikiem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NFZ-u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i (w pewnym zakresie) polskiego Ministerstwa Zdrowia. Dlaczego są jawne?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- Zapytajmy inaczej: a dlaczego ich nie ujawniać? Przecież to obywatele finansują szpitale i to oni powierzają im swoje zdrowie i życie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zauważa Wojciech Wiśniewski z </w:t>
      </w:r>
      <w:hyperlink r:id="rId6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 xml:space="preserve">Fundacji Onkologicznej </w:t>
        </w:r>
        <w:proofErr w:type="spellStart"/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Alivia</w:t>
        </w:r>
        <w:proofErr w:type="spellEnd"/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„…uprzejmie informuję, że Ministerstwo Zdrowia nie prowadzi badań satysfakcji pacjentów korzystających z publicznej służby zdrowia, jak również nie prowadzi badań oraz nie monitoruje jakości świadczonych usług medycznych w ramach publicznego systemu służby zdrowia…” – osadza we właściwych realiach mail przysłany z naszego, polskiego resortu zdrowia. Z dalszej jego treści wynika, że Ministerstwo nie ma też danych, na przykład, dotyczących skuteczności leczenia w poszczególnych placówkach onkologicznych czy przeżycia narządów przeszczepianych w różnych ośrodkach transplantacyjnych.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Czyżby resortem kierowała ostrożność? Gdyby takie dane zbierać, porządkować i ujawniać, okazałoby się, że w rankingu polskich szpitali jest nie tylko podium, lecz także długi ogon placówek przeciętnych i tych najgorszych. Obywatele zaczęliby rozliczać władze z jakości opieki. A że konkretne szpitale przypisane są konkretnym władzom – powiatowym, wojewódzkim, centralnym – wiedzieliby do kogo adresować pretensje. A tak, w błogiej nieświadomości społeczeństwo ufa, że z grubsza wszyscy mają tak samo, czyli bardzo średnio. Wiele osób decyduje się zatem na leczenie nawet choroby nowotworowej w najbliższym szpitalu. Powiatowym. Bo wygodnie dojechać, bo odwiedzającym też będzie łatwo. Problem w tym, że w wielu takich placówkach brakuje chirurgów z wystarczającym doświadczeniem onkologicznym, brakuje radioterapii, a diagnostyka tkwi jeszcze w ubiegłym stuleciu. 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– Oczywiście, są też małe szpitale na wysokim poziomie i duże na nieszczególnym. Niemówienie jednak o tym i niewskazywanie konkretnych placówek, zarówno tych dobrych jak i złych, jest po prostu nie fair wobec osób, które walczą o życie - 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podkreśla Wojciech Wiśniewski.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Fundacja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Alivia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otrzymała z programu Obywatele dla Demokracji przeszło 650 tys. zł, dzięki którym stworzyła </w:t>
      </w:r>
      <w:hyperlink r:id="rId7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Kolejkoskop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i rozwinęła </w:t>
      </w:r>
      <w:hyperlink r:id="rId8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Onkomapę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. W serwisie </w:t>
      </w:r>
      <w:hyperlink r:id="rId9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www.onkomapa.pl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znajdziemy nie tylko wyszukiwarkę wszystkich placówek onkologicznych, lecz również szczegółowe dane na temat ich standardu i sposobu postępowania z chorymi. Ośrodkom oceny wystawiają tu sami pacjenci. Mają też możliwość pozostawienia komentarzy. Są ich tysiące.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hyperlink r:id="rId10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www.kolejkoskop.pl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to również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społecznościowy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serwis. Pozwala wyszukiwać i udostępniać informacje nt. czasu oczekiwania na badania obrazowe. I tak na przykład słupszczanin potrzebujący tomografii głowy dowie się, że w swoim mieście na badanie poczekać musi około pół roku, natomiast jeśli podjedzie do niezbyt odległego Koszalina lub Człuchowa, to odpowiednio – 40 a nawet tylko 19 dni (dane z października 2016 roku).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–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Oba serwisy działają, oba ciągle udoskonalamy i w obu naprawdę jest duży ruch. Ale nam chodziło o coś jeszcze. To jest nasz wkład w upodmiotowienia pacjentów. Dzięki serwisom, mogą choćby świadomie dokonywać wyborów. Czują też, że wystawiane przez nich oceny są ważne, że nigdzie nie giną i z czasem przyczynią się do jakościowej zmiany w systemie –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wyjaśnia Wojciech Wiśniewski.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Jakości opieki szpitalnej, doświadczeniom pacjentów oraz ich upodmiotowieniu poświęcony był również projekt „Społeczny audyt opieki szpitalnej w Polsce – pilotaż”, realizowany przez </w:t>
      </w:r>
      <w:hyperlink r:id="rId11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Fundację Urszuli Jaworskiej.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Przeprowadzono go w pięciu warszawskich szpitalach. Wszystkie wypadły w nim całkiem (a nawet bardzo) dobrze, ale danych dotyczących poszczególnych placówek Fundacja szerzej nie ujawnia. Bo i nie o ranking chodziło. Raczej o wypracowanie solidnej metodologii badań. Już we wstępie do raportu z badań założycielka Fundacji pisze: „Pacjent zniesie wiele, aby dostać świadczenie, być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zaopiekowanym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, leczonym i wyleczonym. Za wszelka cenę chce ratować swoje życie. (…) boi się zwrócić uwagę na złą jakość obsługi (…). Nawet anonimowo, nie zawsze ma odwagę pisać prawdę”. W ramach projektu starano się m.in. znaleźć taką metodę rozmawiania z pacjentem, by zminimalizować jego obawy. Bardzo ważne było też zaangażowanie studentów Warszawskiego Uniwersytetu Medycznego, z Wydziału Zdrowia Publicznego. Wielu z nich, prowadząc ankiety, po raz pierwszy miało okazję na kontakt z pacjentem. A to oni przecież, po zakończeniu studiów, zarządzać będą placówkami ochrony zdrowia, a nawet całym systemem. Dobrze by zapamiętali, że to pacjent jest najważniejszy!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***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Podmiotowość pacjenta to oczywiście nie tylko prawo wyboru szpitala. To również choćby możliwość współdecydowania o tym, co się w nim wydarzy i jak będzie przebiegać. Na przykład poród. To zwykle nie jest stan nagły; raczej całkiem spodziewany. Można go zaplanować i nieco dostosować do preferencji rodzącej. Jednak przez niemal cały XX wiek mieliśmy do czynienia z położnictwem totalitarnym – kobieta była przedmiotem, który poddawano szeregowi czynności niezbędnych do wydobycia dziecka. Jej nie wola była specjalnie ważna. W Polsce zaczęło się to zmieniać dopiero 20-30 lat temu, a w 2011 roku Minister Zdrowia ogłosił Standardy Opieki Okołoporodowej (SOO), dokument w randze rozporządzenia. Opracowane zgodnie z wytycznymi WHO stawiają na równi dwie wartości – prawa człowieka i pacjentki z jej prawem do opieki medycznej na najwyższym poziomie.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br/>
        <w:t>–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Dzięki wsparciu z programu Obywatele dla Demokracji, badaliśmy ten temat w ramach projektu „Na straży Standardów Opieki Okołoporodowej”. Jest różnie. Ciągle w wielu szpitalach porody prowadzone są wg uznania lekarza. Czasem robi się przy rodzącej za dużo, czasem za mało, lub nie to co trzeba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mówi Joanna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Pietrusiewicz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 </w:t>
      </w:r>
      <w:hyperlink r:id="rId12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Fundacji „Rodzić po Ludzku”</w:t>
        </w:r>
      </w:hyperlink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. – Tylko przestrzeganie standardów może to uporządkować. 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Logicznym krokiem było więc doprowadzenie przez Fundację do powołania (przy ścisłej współpracy z Ministerstwem Zdrowia) interdyscyplinarnego zespołu, który rozpoczął prace nad planem powszechnego i rzeczywistego wprowadzania Standardów oraz systemu monitorowania opieki okołoporodowej wszystkich szpitalach.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Niestety, w czerwcu 2016 roku parlament – na wniosek Naczelnej Rady Lekarskiej (NRL) i przy aprobacie Ministra Zdrowia – znowelizował ustawę o działalności leczniczej w ten sposób, że od 2018 roku SOO przestaną w Polsce obowiązywać. To co w myśl rozporządzenia było prawem rodzących 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lastRenderedPageBreak/>
        <w:t>kobiet – m.in. możliwość picia, ruchu, wyboru pozycji porodowej czy dostęp do leczenia bólu – stanie się znów jedynie możliwością. NRL argumentowała, że dotychczasowe gwarancje stanowią „jaskrawe i nieuprawnione wkroczenie władzy (…) w obszar nauki i wiedzy”. Czytaj: udzielność lekarzy. A gdzie prawo kobiet do decydowania o sobie?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W ramach projektu Fundacja zajmowała się również sytuacją położnych, a raczej przeszkodami uniemożliwiającymi im realizację podstawowych obowiązków i praw, czyli opieki nad kobietą w czasie ciąży, porodu i połogu. W tej chwili położna może prowadzić ciążę, ale NFZ jej za to nie zapłaci; nie może też wysłać ciężarnej na USG, ani inne typowe badania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.  – Warto wreszcie zauważyć, że to właśnie położne są specjalistkami w tej dziedzinie. Mają wyższe wykształcenie. Praktyki. Dodatkowe szkolenia. A mimo to ciągle w szpitalnej hierarchii uznawane są za tzw. średni personel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– nie kryje irytacji Joanna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Pietrusiewicz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. 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– Średnie to one mogą być, ale większość z nich jest naprawdę bardzo, bardzo dobra! W przypadku zdrowiej ciąży i fizjologicznego porodu są dla rodzącej dużo lepsze niż, na przykład, średni lekarz.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Formułowany przez Fundację postulat poważniejszego zaangażowania położnych w opiekę nad ciężarnymi, nie tylko jest głosem w obronie praw tej grupy zawodowej, ale również ma znaczenie systemowe. Z badań </w:t>
      </w:r>
      <w:hyperlink r:id="rId13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Fundacji „Rodzić po Ludzku”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wynika, że lekarze ginekolodzy nie są w stanie – w ramach przydzielanych kontraktów – zapewnić opieki wszystkim ciężarnym kobietom.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***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Tak w zasadzie, to powinna się teraz bardziej zainteresować męską bielizną. Wydaje się bowiem, że troska o luźne majtki będzie wkrótce jednym z filarów polityki naszego państwa w zakresie zdrowia reprodukcyjnego. A na zdrowiu tym Anna Krawczak zna się jak mało kto. Szefowała </w:t>
      </w:r>
      <w:hyperlink r:id="rId14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Stowarzyszeniu na rzecz Leczenia Niepłodności i Wspierania Adopcji "Nasz Bocian"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i przez wiele lat przekonywała kolejne rządy, by zapłodnienie </w:t>
      </w:r>
      <w:proofErr w:type="spellStart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in</w:t>
      </w:r>
      <w:proofErr w:type="spellEnd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vitro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zostało objęte refundacją. Kiedy w końcu się to udało, zdobyła dla Stowarzyszenia grant z programu Obywatele dla Demokracji i zorganizowała monitoring klinik wykonujących zabiegi. Stowarzyszenie wraz z wolontariuszkami przebadało warunki leczenia w 35 ośrodkach. Oczywiście, były kliniki lepsze, były i gorsze, ale wszystkie zasługiwały na pozytywną ocenę i robiły wiele, by jeszcze bardziej podnieść jakość świadczonej opieki. 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– Interesowało nas wszystko. Nasze wolontariuszki zwracały uwagę, czy w danym ośrodku szanuje się intymność pacjentów, czy lokal jest dostępny dla osób z </w:t>
      </w:r>
      <w:proofErr w:type="spellStart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niepełnosprawnościami</w:t>
      </w:r>
      <w:proofErr w:type="spellEnd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, czy jest estetyczny, czy można skorzystać ze wsparcia psychologa, czy zawierane umowy wystarczająco zabezpieczają interesy pacjentek. W sumie, o każdej placówce zbierałyśmy po kilkadziesiąt różnych informacji – 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mówi Anna Krawczak.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We wrześniu 2015 roku Stowarzyszenie opublikowało w sieci raport zbiorczy z monitoringu, a w kolejnym miesiącu bardzo szczegółowe informacje o każdym z badanych ośrodków. Publikacje stały się źródłem wiedzy dla par zainteresowanych procedurą, a także dla samych klinik, które dowiadywały się, co mogą i powinny poprawić. Sukcesem </w:t>
      </w:r>
      <w:hyperlink r:id="rId15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„Naszego Bociana”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było też to, że nawet podsumowania zawierające krytyczne uwagi nie stały się zarzewiem konfliktów.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Monitoring zmieniał też sposób myślenia o refundowanych zabiegach </w:t>
      </w:r>
      <w:proofErr w:type="spellStart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in</w:t>
      </w:r>
      <w:proofErr w:type="spellEnd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vitro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. W świadomości społecznej przestały być one prezentem od państwa, którym trzeba się bezkrytycznie zachwycać. Stały świadczeniem, co do jakości którego można mieć oczekiwania.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Normalność – rozumiana jako dostosowanie rodzaju świadczeń i standardu opieki do współczesnego stanu wiedzy medycznej – nie trwała zbyt długo. Jesienią 2015 roku odbyły się wybory parlamentu, ukonstytuowały się nowe władze państwowe. Już wkrótce nowy rząd postanowił zakończyć program refundacji zapłodnienia </w:t>
      </w:r>
      <w:proofErr w:type="spellStart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in</w:t>
      </w:r>
      <w:proofErr w:type="spellEnd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vitro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, choć dla wielu par to jedyna szansa na własne potomstwo. 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lastRenderedPageBreak/>
        <w:t>Zastąpiony ma zostać szeregiem innych działań, które rzekomo przyczynią się do rozwiązania problemu niepłodności, np. wspomnianą troską o przewiewność bielizny chłopców i mężczyzn. Pojawiły się też zapowiedzi takich zmian prawa, które de facto doprowadzić mają do „wygaszenia” zapłodnienia pozaustrojowego również wykonywanego na zasadach komercyjnych.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–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 W dziedzinie leczenia niepłodności, zamiast mechanizmu zapadkowego, gdzie jeden sukces jest stabilnym punktem wyjścia do kolejnych działań na rzecz poprawy, mamy totalną zapaść –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nie kryje pesymizmu Anna Krawczak. </w:t>
      </w: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– Bardzo mi szkoda par, które z powodów politycznych i ideologicznych stracą szanse na potomstwo.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Bo to nie jest tak, że radykalne ograniczenie dostępności do zapłodnienia pozaustrojowego potrwa jedną sejmową kadencję i po czterech latach wszyscy wrócimy do stanu wyjściowego. Czas jest nieubłagany, biologia również; rokowania kobiet, które już dziś nie mogą zajść w ciążę, będą się pogarszały, a szanse na udaną procedurę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in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vitro z roku na rok będą coraz mniejsze.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Style w:val="Uwydatnienie"/>
          <w:rFonts w:asciiTheme="minorHAnsi" w:hAnsiTheme="minorHAnsi"/>
          <w:b/>
          <w:bCs/>
          <w:color w:val="404040" w:themeColor="text1" w:themeTint="BF"/>
          <w:sz w:val="22"/>
          <w:szCs w:val="22"/>
        </w:rPr>
        <w:t>***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Nieco podobną kwestią, bo również zmuszającą rządzących do skonfrontowania wiedzy stricte medycznej z ich światopoglądem i wyznawanymi wartościami, jest problem profilaktyki zakażeń HIV.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- Polskie prawo nakłada obowiązek podejmowania działań profilaktycznych na bardzo wiele instytucji i organów publicznych. Władze samorządowe, wojewódzkie, ministerstwa, różne agencje –</w:t>
      </w: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wyjaśnia Cezary </w:t>
      </w:r>
      <w:proofErr w:type="spellStart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Fidor</w:t>
      </w:r>
      <w:proofErr w:type="spellEnd"/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ze </w:t>
      </w:r>
      <w:hyperlink r:id="rId16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Społecznego Komitetu ds. AIDS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. Jak to wygląda w praktyce?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Przyjrzyjmy się choćby Ministerstwu Sportu i Turystyki. Pomyślmy o setkach tysięcy młodzieży koszarowanej rokrocznie w internatach podczas wyjazdowych treningów, zawodów i zgrupowań. Młodzi, zdrowi i różnych płci. W takich warunkach integracja i interakcja jest czymś oczywistym. A potem pomyślmy o finansach. – Resort sportu w 2014 roku na profilaktykę HIV/AIDS wydawał średnio po 8 zł dziennie, czyli kwotę wystarczającą na zakup trzech prezerwatyw. A przecież sport to także nielegalny doping, a doping to zastrzyki choćby sterydów, nie zawsze jednorazową igłą. A wielkie wydarzenia sportowe? – One same nie koniecznie wiążą się z większym ryzykiem zakażenia, ale są doskonałą okazją, by dotrzeć do tysięcy a nawet milionów kibiców z komunikatem nt. zagrożeń i sposobów ochrony. Czy 8 złotych dziennie wystarczy?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Oczywiście, są też i dobre przykłady. W latach 2013-14 Ministerstwo Sprawiedliwości wydawało ok. 0,5 mln złotych rocznie na profilaktykę HIV/AIDS wśród pensjonariuszy aresztów, zakładów karnych, zakładów poprawczych i placówek wychowawczych dla młodzieży. I działania te rzeczywiście były prowadzone. Również MON na serio traktował swoje obowiązki. W analogicznym okresie przeznaczał po ok. 100 tys. zł rocznie na profilaktykę wśród żołnierzy – głównie ich edukowanie. Z monitoringu przeprowadzonego przez Społeczny Komitet ds. AIDS wynika jednak, że te dobre praktyki są raczej wyjątkami potwierdzającymi złą regułę.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Szerszy opis niedostatków działań różnych instytucji znalazł się w raporcie „Przeciwdziałanie zakażeniom HIV/AIDS w Polsce w latach 2013-14”. W jego wstępie badacze zwracają uwagę na grzech najważniejszy – ogromne niedofinansowanie profilaktyki. W tej chwili na leczenie osób chorych na AIDS z budżetu państwa wydawane jest 750 tys. zł na dobę. Okazuje się, że w ciągu tych samych 24 godzin o zakażeniu wirusem HIV dowiaduje się kolejnych 2-3 Polaków, a wieloletnie leczenie każdego z nich kosztować będzie około 1 mln złotych. W praktyce oznacza to, że każdego dnia narasta przyszłe zobowiązanie państwa – o jakieś 2-3 mln złotych!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lastRenderedPageBreak/>
        <w:t>W Polsce absolutna większość zakażeń wirusem HIV następuje na drodze kontaktów seksualnych. Żeby opanować to narastające zagrożenie, można albo zmienić prawo i Polakom w ogóle zakazać zbliżeń, albo – przeciwnie – podjąć działania na rzecz upowszechnienia bezpiecznych zachowań seksualnych. III sektor i tu może pomóc rządzącym, ale to już zupełnie inna historia…</w:t>
      </w:r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 xml:space="preserve">tekst: Michał </w:t>
      </w:r>
      <w:proofErr w:type="spellStart"/>
      <w:r w:rsidRPr="00FB084E">
        <w:rPr>
          <w:rStyle w:val="Uwydatnienie"/>
          <w:rFonts w:asciiTheme="minorHAnsi" w:hAnsiTheme="minorHAnsi"/>
          <w:color w:val="404040" w:themeColor="text1" w:themeTint="BF"/>
          <w:sz w:val="22"/>
          <w:szCs w:val="22"/>
        </w:rPr>
        <w:t>Henzler</w:t>
      </w:r>
      <w:proofErr w:type="spellEnd"/>
    </w:p>
    <w:p w:rsidR="00A065B4" w:rsidRPr="00FB084E" w:rsidRDefault="00A065B4" w:rsidP="00A065B4">
      <w:pPr>
        <w:pStyle w:val="NormalnyWeb"/>
        <w:jc w:val="both"/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Projekty zostały zrealizowane w ramach programu </w:t>
      </w:r>
      <w:hyperlink r:id="rId17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Obywatele dla Demokracji 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 xml:space="preserve"> realizowanego przez </w:t>
      </w:r>
      <w:hyperlink r:id="rId18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Fundację Batorego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, finansowanego z </w:t>
      </w:r>
      <w:hyperlink r:id="rId19" w:history="1">
        <w:r w:rsidRPr="00FB084E">
          <w:rPr>
            <w:rStyle w:val="Hipercze"/>
            <w:rFonts w:asciiTheme="minorHAnsi" w:hAnsiTheme="minorHAnsi"/>
            <w:color w:val="404040" w:themeColor="text1" w:themeTint="BF"/>
            <w:sz w:val="22"/>
            <w:szCs w:val="22"/>
          </w:rPr>
          <w:t>Funduszy EOG</w:t>
        </w:r>
      </w:hyperlink>
      <w:r w:rsidRPr="00FB084E">
        <w:rPr>
          <w:rFonts w:asciiTheme="minorHAnsi" w:hAnsiTheme="minorHAnsi"/>
          <w:color w:val="404040" w:themeColor="text1" w:themeTint="BF"/>
          <w:sz w:val="22"/>
          <w:szCs w:val="22"/>
        </w:rPr>
        <w:t>.</w:t>
      </w:r>
    </w:p>
    <w:p w:rsidR="00552EE1" w:rsidRPr="00FB084E" w:rsidRDefault="00552EE1" w:rsidP="00A065B4">
      <w:pPr>
        <w:spacing w:after="0"/>
        <w:jc w:val="both"/>
        <w:rPr>
          <w:rFonts w:asciiTheme="minorHAnsi" w:hAnsiTheme="minorHAnsi"/>
          <w:color w:val="404040" w:themeColor="text1" w:themeTint="BF"/>
        </w:rPr>
      </w:pPr>
    </w:p>
    <w:p w:rsidR="004A7867" w:rsidRPr="00FB084E" w:rsidRDefault="00CE6B5A" w:rsidP="00A065B4">
      <w:pPr>
        <w:spacing w:after="0"/>
        <w:jc w:val="both"/>
        <w:rPr>
          <w:rFonts w:asciiTheme="minorHAnsi" w:hAnsiTheme="minorHAnsi"/>
          <w:b/>
          <w:color w:val="404040" w:themeColor="text1" w:themeTint="BF"/>
        </w:rPr>
      </w:pPr>
      <w:r w:rsidRPr="00FB084E">
        <w:rPr>
          <w:rFonts w:asciiTheme="minorHAnsi" w:hAnsiTheme="minorHAnsi"/>
          <w:noProof/>
          <w:color w:val="404040" w:themeColor="text1" w:themeTint="BF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1.05pt;width:455.15pt;height:0;z-index:251657728" o:connectortype="straight"/>
        </w:pict>
      </w:r>
      <w:r w:rsidR="004A7867" w:rsidRPr="00FB084E">
        <w:rPr>
          <w:rFonts w:asciiTheme="minorHAnsi" w:hAnsiTheme="minorHAnsi"/>
          <w:b/>
          <w:color w:val="404040" w:themeColor="text1" w:themeTint="BF"/>
        </w:rPr>
        <w:t>Kontakt:</w:t>
      </w:r>
    </w:p>
    <w:p w:rsidR="004A7867" w:rsidRPr="00FB084E" w:rsidRDefault="004A7867" w:rsidP="00A065B4">
      <w:pPr>
        <w:spacing w:after="0" w:line="240" w:lineRule="auto"/>
        <w:jc w:val="both"/>
        <w:rPr>
          <w:rFonts w:asciiTheme="minorHAnsi" w:eastAsia="Times New Roman" w:hAnsiTheme="minorHAnsi" w:cs="Courier New"/>
          <w:color w:val="404040" w:themeColor="text1" w:themeTint="BF"/>
          <w:lang w:eastAsia="pl-PL"/>
        </w:rPr>
      </w:pPr>
      <w:r w:rsidRPr="00FB084E">
        <w:rPr>
          <w:rFonts w:asciiTheme="minorHAnsi" w:hAnsiTheme="minorHAnsi"/>
          <w:b/>
          <w:color w:val="404040" w:themeColor="text1" w:themeTint="BF"/>
        </w:rPr>
        <w:t xml:space="preserve">Karolina Szymańska </w:t>
      </w:r>
      <w:r w:rsidRPr="00FB084E">
        <w:rPr>
          <w:rFonts w:asciiTheme="minorHAnsi" w:hAnsiTheme="minorHAnsi"/>
          <w:color w:val="404040" w:themeColor="text1" w:themeTint="BF"/>
        </w:rPr>
        <w:t>/</w:t>
      </w:r>
      <w:r w:rsidRPr="00FB084E">
        <w:rPr>
          <w:rFonts w:asciiTheme="minorHAnsi" w:hAnsiTheme="minorHAnsi"/>
          <w:b/>
          <w:color w:val="404040" w:themeColor="text1" w:themeTint="BF"/>
        </w:rPr>
        <w:t xml:space="preserve"> </w:t>
      </w:r>
      <w:r w:rsidRPr="00FB084E">
        <w:rPr>
          <w:rFonts w:asciiTheme="minorHAnsi" w:eastAsia="Times New Roman" w:hAnsiTheme="minorHAnsi" w:cs="Courier New"/>
          <w:color w:val="404040" w:themeColor="text1" w:themeTint="BF"/>
          <w:lang w:eastAsia="pl-PL"/>
        </w:rPr>
        <w:t>Informacja i promocja, Program Obywatele dla Demokracji, Fundacja im. Stefana Batorego</w:t>
      </w:r>
    </w:p>
    <w:p w:rsidR="004A7867" w:rsidRPr="00FB084E" w:rsidRDefault="004A7867" w:rsidP="00A065B4">
      <w:pPr>
        <w:spacing w:after="0" w:line="240" w:lineRule="auto"/>
        <w:jc w:val="both"/>
        <w:rPr>
          <w:rFonts w:asciiTheme="minorHAnsi" w:eastAsia="Times New Roman" w:hAnsiTheme="minorHAnsi" w:cs="Courier New"/>
          <w:color w:val="404040" w:themeColor="text1" w:themeTint="BF"/>
          <w:lang w:eastAsia="pl-PL"/>
        </w:rPr>
      </w:pPr>
    </w:p>
    <w:p w:rsidR="004A7867" w:rsidRPr="00FB084E" w:rsidRDefault="004A7867" w:rsidP="00A0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</w:pPr>
      <w:r w:rsidRPr="00FB084E"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  <w:t xml:space="preserve">tel. </w:t>
      </w:r>
      <w:proofErr w:type="spellStart"/>
      <w:r w:rsidRPr="00FB084E"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  <w:t>kom</w:t>
      </w:r>
      <w:proofErr w:type="spellEnd"/>
      <w:r w:rsidRPr="00FB084E"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  <w:t>. 605 650 782</w:t>
      </w:r>
    </w:p>
    <w:p w:rsidR="004A7867" w:rsidRPr="00FB084E" w:rsidRDefault="004A7867" w:rsidP="00A0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</w:pPr>
      <w:r w:rsidRPr="00FB084E"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  <w:t>mail: kszymanska@batory.org.pl</w:t>
      </w:r>
    </w:p>
    <w:p w:rsidR="004A7867" w:rsidRPr="00FB084E" w:rsidRDefault="000760B5" w:rsidP="00A06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</w:pPr>
      <w:r w:rsidRPr="00FB084E">
        <w:rPr>
          <w:rFonts w:asciiTheme="minorHAnsi" w:eastAsia="Times New Roman" w:hAnsiTheme="minorHAnsi" w:cs="Courier New"/>
          <w:color w:val="404040" w:themeColor="text1" w:themeTint="BF"/>
          <w:lang w:val="en-GB" w:eastAsia="pl-PL"/>
        </w:rPr>
        <w:t>www.ngofund.org.pl</w:t>
      </w:r>
    </w:p>
    <w:p w:rsidR="004A7867" w:rsidRPr="00FB084E" w:rsidRDefault="004A7867" w:rsidP="00A065B4">
      <w:pPr>
        <w:spacing w:after="0"/>
        <w:jc w:val="both"/>
        <w:rPr>
          <w:rFonts w:asciiTheme="minorHAnsi" w:hAnsiTheme="minorHAnsi"/>
          <w:b/>
          <w:color w:val="404040" w:themeColor="text1" w:themeTint="BF"/>
          <w:lang w:val="en-GB"/>
        </w:rPr>
      </w:pPr>
    </w:p>
    <w:sectPr w:rsidR="004A7867" w:rsidRPr="00FB084E" w:rsidSect="00A6072C"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20" w:rsidRDefault="001D3320">
      <w:pPr>
        <w:spacing w:after="0" w:line="240" w:lineRule="auto"/>
      </w:pPr>
      <w:r>
        <w:separator/>
      </w:r>
    </w:p>
  </w:endnote>
  <w:endnote w:type="continuationSeparator" w:id="0">
    <w:p w:rsidR="001D3320" w:rsidRDefault="001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FB084E">
      <w:rPr>
        <w:rFonts w:ascii="Verdana" w:hAnsi="Verdana"/>
        <w:b/>
        <w:noProof/>
        <w:color w:val="236192"/>
        <w:sz w:val="16"/>
        <w:szCs w:val="16"/>
        <w:lang w:val="pl-PL"/>
      </w:rPr>
      <w:t>2</w:t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1D3320" w:rsidRPr="00AD0CA8" w:rsidRDefault="001D3320" w:rsidP="00A6072C">
    <w:pPr>
      <w:pStyle w:val="Stopka"/>
      <w:rPr>
        <w:lang w:val="pl-PL"/>
      </w:rPr>
    </w:pPr>
  </w:p>
  <w:p w:rsidR="001D3320" w:rsidRPr="00E20CBB" w:rsidRDefault="001D3320">
    <w:pPr>
      <w:pStyle w:val="Stopka"/>
      <w:rPr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>Obywatele dla Demokracji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A11CA9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FB084E">
      <w:rPr>
        <w:rFonts w:ascii="Verdana" w:hAnsi="Verdana"/>
        <w:b/>
        <w:noProof/>
        <w:color w:val="236192"/>
        <w:sz w:val="16"/>
        <w:szCs w:val="16"/>
        <w:lang w:val="pl-PL"/>
      </w:rPr>
      <w:t>1</w:t>
    </w:r>
    <w:r w:rsidR="00CE6B5A" w:rsidRPr="00A11CA9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1D3320" w:rsidRPr="00B96256" w:rsidRDefault="001D3320" w:rsidP="00A6072C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1D3320" w:rsidRPr="00AD0CA8" w:rsidRDefault="001D3320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20" w:rsidRDefault="001D3320">
      <w:pPr>
        <w:spacing w:after="0" w:line="240" w:lineRule="auto"/>
      </w:pPr>
      <w:r>
        <w:separator/>
      </w:r>
    </w:p>
  </w:footnote>
  <w:footnote w:type="continuationSeparator" w:id="0">
    <w:p w:rsidR="001D3320" w:rsidRDefault="001D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20" w:rsidRDefault="001D3320" w:rsidP="004A7867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3220085" cy="421640"/>
          <wp:effectExtent l="19050" t="0" r="0" b="0"/>
          <wp:docPr id="1" name="Obraz 1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_PL_kont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25"/>
    <w:rsid w:val="000760B5"/>
    <w:rsid w:val="000E6211"/>
    <w:rsid w:val="0010594B"/>
    <w:rsid w:val="0011176B"/>
    <w:rsid w:val="001D3320"/>
    <w:rsid w:val="00300CDC"/>
    <w:rsid w:val="00321C5D"/>
    <w:rsid w:val="00391A49"/>
    <w:rsid w:val="0046536B"/>
    <w:rsid w:val="004A7867"/>
    <w:rsid w:val="004C0C30"/>
    <w:rsid w:val="004D5FB5"/>
    <w:rsid w:val="00552EE1"/>
    <w:rsid w:val="005950F8"/>
    <w:rsid w:val="00830FEC"/>
    <w:rsid w:val="00843874"/>
    <w:rsid w:val="00983F82"/>
    <w:rsid w:val="009F6490"/>
    <w:rsid w:val="00A065B4"/>
    <w:rsid w:val="00A470EE"/>
    <w:rsid w:val="00A6072C"/>
    <w:rsid w:val="00A73525"/>
    <w:rsid w:val="00B422C7"/>
    <w:rsid w:val="00CA10AC"/>
    <w:rsid w:val="00CE6B5A"/>
    <w:rsid w:val="00EE57F6"/>
    <w:rsid w:val="00F1249A"/>
    <w:rsid w:val="00FB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525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983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52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A73525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7352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73525"/>
    <w:rPr>
      <w:lang w:val="en-US"/>
    </w:rPr>
  </w:style>
  <w:style w:type="paragraph" w:styleId="NormalnyWeb">
    <w:name w:val="Normal (Web)"/>
    <w:basedOn w:val="Normalny"/>
    <w:uiPriority w:val="99"/>
    <w:unhideWhenUsed/>
    <w:rsid w:val="00A73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7352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73525"/>
    <w:rPr>
      <w:i/>
      <w:iCs/>
    </w:rPr>
  </w:style>
  <w:style w:type="character" w:customStyle="1" w:styleId="apple-converted-space">
    <w:name w:val="apple-converted-space"/>
    <w:basedOn w:val="Domylnaczcionkaakapitu"/>
    <w:rsid w:val="00A73525"/>
  </w:style>
  <w:style w:type="character" w:styleId="Pogrubienie">
    <w:name w:val="Strong"/>
    <w:basedOn w:val="Domylnaczcionkaakapitu"/>
    <w:uiPriority w:val="22"/>
    <w:qFormat/>
    <w:rsid w:val="00A735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25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73525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A7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A7867"/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36B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6536B"/>
    <w:rPr>
      <w:vertAlign w:val="superscript"/>
    </w:rPr>
  </w:style>
  <w:style w:type="character" w:customStyle="1" w:styleId="text">
    <w:name w:val="text"/>
    <w:basedOn w:val="Domylnaczcionkaakapitu"/>
    <w:rsid w:val="000760B5"/>
  </w:style>
  <w:style w:type="character" w:customStyle="1" w:styleId="Nagwek4Znak">
    <w:name w:val="Nagłówek 4 Znak"/>
    <w:basedOn w:val="Domylnaczcionkaakapitu"/>
    <w:link w:val="Nagwek4"/>
    <w:uiPriority w:val="9"/>
    <w:rsid w:val="00983F82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mapa.pl/" TargetMode="External"/><Relationship Id="rId13" Type="http://schemas.openxmlformats.org/officeDocument/2006/relationships/hyperlink" Target="http://www.rodzicpoludzku.pl/" TargetMode="External"/><Relationship Id="rId18" Type="http://schemas.openxmlformats.org/officeDocument/2006/relationships/hyperlink" Target="http://www.batory.org.pl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kolejkoskop.pl/" TargetMode="External"/><Relationship Id="rId12" Type="http://schemas.openxmlformats.org/officeDocument/2006/relationships/hyperlink" Target="http://www.rodzicpoludzku.pl/" TargetMode="External"/><Relationship Id="rId17" Type="http://schemas.openxmlformats.org/officeDocument/2006/relationships/hyperlink" Target="http://www.ngofund.org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kaids.org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alivia.org.pl/" TargetMode="External"/><Relationship Id="rId11" Type="http://schemas.openxmlformats.org/officeDocument/2006/relationships/hyperlink" Target="http://fundacjauj.pl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asz-bocian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lejkoskop.pl" TargetMode="External"/><Relationship Id="rId19" Type="http://schemas.openxmlformats.org/officeDocument/2006/relationships/hyperlink" Target="http://eeagrants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nkomapa.pl" TargetMode="External"/><Relationship Id="rId14" Type="http://schemas.openxmlformats.org/officeDocument/2006/relationships/hyperlink" Target="http://www.nasz-bocian.pl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2323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16231</CharactersWithSpaces>
  <SharedDoc>false</SharedDoc>
  <HLinks>
    <vt:vector size="42" baseType="variant">
      <vt:variant>
        <vt:i4>4718658</vt:i4>
      </vt:variant>
      <vt:variant>
        <vt:i4>18</vt:i4>
      </vt:variant>
      <vt:variant>
        <vt:i4>0</vt:i4>
      </vt:variant>
      <vt:variant>
        <vt:i4>5</vt:i4>
      </vt:variant>
      <vt:variant>
        <vt:lpwstr>http://eeagrants.org/</vt:lpwstr>
      </vt:variant>
      <vt:variant>
        <vt:lpwstr/>
      </vt:variant>
      <vt:variant>
        <vt:i4>3670142</vt:i4>
      </vt:variant>
      <vt:variant>
        <vt:i4>15</vt:i4>
      </vt:variant>
      <vt:variant>
        <vt:i4>0</vt:i4>
      </vt:variant>
      <vt:variant>
        <vt:i4>5</vt:i4>
      </vt:variant>
      <vt:variant>
        <vt:lpwstr>http://czarnaowca.org/</vt:lpwstr>
      </vt:variant>
      <vt:variant>
        <vt:lpwstr/>
      </vt:variant>
      <vt:variant>
        <vt:i4>3801200</vt:i4>
      </vt:variant>
      <vt:variant>
        <vt:i4>12</vt:i4>
      </vt:variant>
      <vt:variant>
        <vt:i4>0</vt:i4>
      </vt:variant>
      <vt:variant>
        <vt:i4>5</vt:i4>
      </vt:variant>
      <vt:variant>
        <vt:lpwstr>http://www.pozytywnezmiany.org/</vt:lpwstr>
      </vt:variant>
      <vt:variant>
        <vt:lpwstr/>
      </vt:variant>
      <vt:variant>
        <vt:i4>6488119</vt:i4>
      </vt:variant>
      <vt:variant>
        <vt:i4>9</vt:i4>
      </vt:variant>
      <vt:variant>
        <vt:i4>0</vt:i4>
      </vt:variant>
      <vt:variant>
        <vt:i4>5</vt:i4>
      </vt:variant>
      <vt:variant>
        <vt:lpwstr>www.wokandaobywatelska.pl </vt:lpwstr>
      </vt:variant>
      <vt:variant>
        <vt:lpwstr/>
      </vt:variant>
      <vt:variant>
        <vt:i4>3670114</vt:i4>
      </vt:variant>
      <vt:variant>
        <vt:i4>6</vt:i4>
      </vt:variant>
      <vt:variant>
        <vt:i4>0</vt:i4>
      </vt:variant>
      <vt:variant>
        <vt:i4>5</vt:i4>
      </vt:variant>
      <vt:variant>
        <vt:lpwstr>https://courtwatch.pl/</vt:lpwstr>
      </vt:variant>
      <vt:variant>
        <vt:lpwstr/>
      </vt:variant>
      <vt:variant>
        <vt:i4>3670114</vt:i4>
      </vt:variant>
      <vt:variant>
        <vt:i4>3</vt:i4>
      </vt:variant>
      <vt:variant>
        <vt:i4>0</vt:i4>
      </vt:variant>
      <vt:variant>
        <vt:i4>5</vt:i4>
      </vt:variant>
      <vt:variant>
        <vt:lpwstr>https://courtwatch.pl/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Szymańska</dc:creator>
  <cp:lastModifiedBy>Karolina Szymańska</cp:lastModifiedBy>
  <cp:revision>3</cp:revision>
  <dcterms:created xsi:type="dcterms:W3CDTF">2016-12-19T09:49:00Z</dcterms:created>
  <dcterms:modified xsi:type="dcterms:W3CDTF">2016-12-19T09:49:00Z</dcterms:modified>
</cp:coreProperties>
</file>